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70A2" w14:textId="2686854B" w:rsidR="007D1285" w:rsidRDefault="007D1285">
      <w:r>
        <w:rPr>
          <w:noProof/>
          <w:lang w:eastAsia="en-AU"/>
        </w:rPr>
        <w:drawing>
          <wp:anchor distT="0" distB="0" distL="114300" distR="114300" simplePos="0" relativeHeight="251658240" behindDoc="1" locked="0" layoutInCell="1" allowOverlap="1" wp14:anchorId="55820B5D" wp14:editId="74A605F6">
            <wp:simplePos x="0" y="0"/>
            <wp:positionH relativeFrom="margin">
              <wp:align>right</wp:align>
            </wp:positionH>
            <wp:positionV relativeFrom="paragraph">
              <wp:posOffset>-2552700</wp:posOffset>
            </wp:positionV>
            <wp:extent cx="7658100" cy="7676163"/>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2D83">
        <w:t xml:space="preserve"> </w:t>
      </w:r>
    </w:p>
    <w:p w14:paraId="76CBC97F" w14:textId="77777777" w:rsidR="007D1285" w:rsidRDefault="007D1285"/>
    <w:p w14:paraId="02FDF464" w14:textId="77777777" w:rsidR="007D1285" w:rsidRDefault="007D1285"/>
    <w:p w14:paraId="63955F7E" w14:textId="77777777" w:rsidR="007D1285" w:rsidRDefault="007D1285"/>
    <w:p w14:paraId="747D4355" w14:textId="77777777" w:rsidR="007D1285" w:rsidRDefault="007D1285"/>
    <w:p w14:paraId="048D0D91" w14:textId="77777777" w:rsidR="007D1285" w:rsidRDefault="007D1285"/>
    <w:p w14:paraId="324E268E" w14:textId="77777777" w:rsidR="007D1285" w:rsidRDefault="007D1285"/>
    <w:p w14:paraId="7B29D5DF" w14:textId="77777777" w:rsidR="007D1285" w:rsidRDefault="007D1285"/>
    <w:p w14:paraId="0EFEC65F" w14:textId="77777777" w:rsidR="007D1285" w:rsidRDefault="007D1285"/>
    <w:p w14:paraId="5F0CF5D0" w14:textId="77777777" w:rsidR="007D1285" w:rsidRDefault="007D1285"/>
    <w:p w14:paraId="0F3F1B76" w14:textId="77777777" w:rsidR="007D1285" w:rsidRDefault="007D1285"/>
    <w:p w14:paraId="030D2AC1" w14:textId="77777777" w:rsidR="007D1285" w:rsidRDefault="007D1285"/>
    <w:p w14:paraId="2B2DDA06" w14:textId="77777777" w:rsidR="007D1285" w:rsidRDefault="007D1285"/>
    <w:p w14:paraId="1911DC98" w14:textId="77777777" w:rsidR="007D1285" w:rsidRDefault="007D1285"/>
    <w:p w14:paraId="5D48777A" w14:textId="77777777" w:rsidR="007D1285" w:rsidRDefault="007D1285"/>
    <w:p w14:paraId="401C6F5E" w14:textId="77777777" w:rsidR="007D1285" w:rsidRDefault="007D1285"/>
    <w:p w14:paraId="1DE94025" w14:textId="77777777" w:rsidR="007D1285" w:rsidRDefault="007D1285"/>
    <w:p w14:paraId="184E7A80" w14:textId="77777777" w:rsidR="007D1285" w:rsidRDefault="007D1285"/>
    <w:p w14:paraId="15BE36AD" w14:textId="77777777" w:rsidR="007D1285" w:rsidRDefault="007D1285"/>
    <w:p w14:paraId="3D444AD6" w14:textId="77777777" w:rsidR="007D1285" w:rsidRDefault="007D1285"/>
    <w:p w14:paraId="7FF7D239" w14:textId="77777777" w:rsidR="007D1285" w:rsidRDefault="007D1285"/>
    <w:p w14:paraId="28EB1415" w14:textId="5C2653E6" w:rsidR="007D1285" w:rsidRPr="00ED0ACF" w:rsidRDefault="007C6DBB">
      <w:pPr>
        <w:rPr>
          <w:rFonts w:ascii="Gill Sans MT" w:hAnsi="Gill Sans MT"/>
          <w:sz w:val="40"/>
        </w:rPr>
      </w:pPr>
      <w:r w:rsidRPr="00F346A8">
        <w:rPr>
          <w:rFonts w:ascii="Gill Sans MT" w:hAnsi="Gill Sans MT"/>
          <w:sz w:val="40"/>
        </w:rPr>
        <w:t xml:space="preserve">Addendum No. </w:t>
      </w:r>
      <w:r w:rsidR="004A315F">
        <w:rPr>
          <w:rFonts w:ascii="Gill Sans MT" w:hAnsi="Gill Sans MT"/>
          <w:sz w:val="40"/>
        </w:rPr>
        <w:t>7</w:t>
      </w:r>
      <w:r w:rsidR="00DA6EA3" w:rsidRPr="00F346A8">
        <w:rPr>
          <w:rFonts w:ascii="Gill Sans MT" w:hAnsi="Gill Sans MT"/>
          <w:sz w:val="40"/>
        </w:rPr>
        <w:t xml:space="preserve"> (Part B)</w:t>
      </w:r>
      <w:r w:rsidR="007D1285" w:rsidRPr="00F346A8">
        <w:rPr>
          <w:rFonts w:ascii="Gill Sans MT" w:hAnsi="Gill Sans MT"/>
          <w:sz w:val="40"/>
        </w:rPr>
        <w:t xml:space="preserve"> to AQF</w:t>
      </w:r>
      <w:r w:rsidR="007D1285" w:rsidRPr="00ED0ACF">
        <w:rPr>
          <w:rFonts w:ascii="Gill Sans MT" w:hAnsi="Gill Sans MT"/>
          <w:sz w:val="40"/>
        </w:rPr>
        <w:t xml:space="preserve"> Second Edition </w:t>
      </w:r>
      <w:r w:rsidRPr="00ED0ACF">
        <w:rPr>
          <w:rFonts w:ascii="Gill Sans MT" w:hAnsi="Gill Sans MT"/>
          <w:sz w:val="40"/>
        </w:rPr>
        <w:t>January 2013</w:t>
      </w:r>
    </w:p>
    <w:p w14:paraId="72EF83AB" w14:textId="77777777" w:rsidR="0020375D" w:rsidRPr="0066076B" w:rsidRDefault="0020375D" w:rsidP="0020375D">
      <w:pPr>
        <w:tabs>
          <w:tab w:val="left" w:pos="2268"/>
        </w:tabs>
        <w:snapToGrid w:val="0"/>
        <w:spacing w:after="0" w:line="276" w:lineRule="auto"/>
        <w:ind w:right="-340"/>
        <w:rPr>
          <w:rFonts w:ascii="Gill Sans MT" w:hAnsi="Gill Sans MT"/>
          <w:sz w:val="35"/>
          <w:szCs w:val="35"/>
        </w:rPr>
      </w:pPr>
      <w:r w:rsidRPr="0066076B">
        <w:rPr>
          <w:rFonts w:ascii="Gill Sans MT" w:hAnsi="Gill Sans MT"/>
          <w:sz w:val="35"/>
          <w:szCs w:val="35"/>
        </w:rPr>
        <w:t xml:space="preserve">Vocational Degree: Updates to AQF Issuance Policy and Glossary  </w:t>
      </w:r>
    </w:p>
    <w:p w14:paraId="5B7EB55F" w14:textId="77777777" w:rsidR="00141F90" w:rsidRPr="00141F90" w:rsidRDefault="007D1285" w:rsidP="00141F90">
      <w:pPr>
        <w:snapToGrid w:val="0"/>
        <w:spacing w:after="0"/>
        <w:ind w:right="4064"/>
        <w:rPr>
          <w:rFonts w:ascii="Gill Sans MT" w:hAnsi="Gill Sans MT"/>
        </w:rPr>
      </w:pPr>
      <w:r>
        <w:br w:type="page"/>
      </w:r>
    </w:p>
    <w:p w14:paraId="2700E6DD" w14:textId="51444CB3" w:rsidR="00C93132" w:rsidRPr="00F346A8" w:rsidRDefault="00141F90" w:rsidP="00ED0ACF">
      <w:pPr>
        <w:tabs>
          <w:tab w:val="left" w:pos="2268"/>
        </w:tabs>
        <w:snapToGrid w:val="0"/>
        <w:spacing w:after="0" w:line="240" w:lineRule="auto"/>
        <w:rPr>
          <w:rFonts w:ascii="Gill Sans MT" w:hAnsi="Gill Sans MT"/>
          <w:sz w:val="15"/>
          <w:szCs w:val="15"/>
        </w:rPr>
      </w:pPr>
      <w:r w:rsidRPr="00F346A8">
        <w:rPr>
          <w:rFonts w:ascii="Gill Sans MT" w:hAnsi="Gill Sans MT"/>
          <w:noProof/>
          <w:sz w:val="15"/>
          <w:szCs w:val="15"/>
          <w:lang w:eastAsia="en-AU"/>
        </w:rPr>
        <w:lastRenderedPageBreak/>
        <w:drawing>
          <wp:anchor distT="0" distB="0" distL="114300" distR="114300" simplePos="0" relativeHeight="251660288" behindDoc="1" locked="0" layoutInCell="1" allowOverlap="1" wp14:anchorId="46BBE1A2" wp14:editId="463EDCB6">
            <wp:simplePos x="0" y="0"/>
            <wp:positionH relativeFrom="margin">
              <wp:posOffset>-1804670</wp:posOffset>
            </wp:positionH>
            <wp:positionV relativeFrom="paragraph">
              <wp:posOffset>-2593340</wp:posOffset>
            </wp:positionV>
            <wp:extent cx="7658100" cy="7676163"/>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9" cstate="print">
                      <a:lum bright="70000" contrast="-70000"/>
                      <a:extLst>
                        <a:ext uri="{BEBA8EAE-BF5A-486C-A8C5-ECC9F3942E4B}">
                          <a14:imgProps xmlns:a14="http://schemas.microsoft.com/office/drawing/2010/main">
                            <a14:imgLayer r:embed="rId10">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46A8">
        <w:rPr>
          <w:rFonts w:ascii="Gill Sans MT" w:hAnsi="Gill Sans MT"/>
          <w:sz w:val="15"/>
          <w:szCs w:val="15"/>
        </w:rPr>
        <w:t xml:space="preserve">Addendum No. </w:t>
      </w:r>
      <w:r w:rsidR="004A315F">
        <w:rPr>
          <w:rFonts w:ascii="Gill Sans MT" w:hAnsi="Gill Sans MT"/>
          <w:sz w:val="15"/>
          <w:szCs w:val="15"/>
        </w:rPr>
        <w:t>7</w:t>
      </w:r>
      <w:r w:rsidRPr="00F346A8">
        <w:rPr>
          <w:rFonts w:ascii="Gill Sans MT" w:hAnsi="Gill Sans MT"/>
          <w:sz w:val="15"/>
          <w:szCs w:val="15"/>
        </w:rPr>
        <w:t xml:space="preserve"> </w:t>
      </w:r>
      <w:r w:rsidR="00ED0ACF" w:rsidRPr="00F346A8">
        <w:rPr>
          <w:rFonts w:ascii="Gill Sans MT" w:hAnsi="Gill Sans MT"/>
          <w:sz w:val="15"/>
          <w:szCs w:val="15"/>
        </w:rPr>
        <w:t xml:space="preserve">(Part B) </w:t>
      </w:r>
      <w:r w:rsidRPr="00F346A8">
        <w:rPr>
          <w:rFonts w:ascii="Gill Sans MT" w:hAnsi="Gill Sans MT"/>
          <w:sz w:val="15"/>
          <w:szCs w:val="15"/>
        </w:rPr>
        <w:t>to AQF Second Edition January 2013</w:t>
      </w:r>
    </w:p>
    <w:p w14:paraId="68A56E98" w14:textId="75262AB6" w:rsidR="00141F90" w:rsidRPr="00ED0ACF" w:rsidRDefault="0066076B" w:rsidP="00ED0ACF">
      <w:pPr>
        <w:spacing w:after="0"/>
        <w:rPr>
          <w:rFonts w:ascii="Gill Sans MT" w:hAnsi="Gill Sans MT"/>
          <w:sz w:val="36"/>
        </w:rPr>
      </w:pPr>
      <w:r w:rsidRPr="00F346A8">
        <w:rPr>
          <w:rFonts w:ascii="Gill Sans MT" w:hAnsi="Gill Sans MT"/>
          <w:sz w:val="15"/>
          <w:szCs w:val="15"/>
        </w:rPr>
        <w:t xml:space="preserve">Vocational Degree: </w:t>
      </w:r>
      <w:r w:rsidR="00ED0ACF" w:rsidRPr="00F346A8">
        <w:rPr>
          <w:rFonts w:ascii="Gill Sans MT" w:hAnsi="Gill Sans MT"/>
          <w:sz w:val="15"/>
          <w:szCs w:val="15"/>
        </w:rPr>
        <w:t>Updates to AQF Issuance Policy and Glossary</w:t>
      </w:r>
      <w:r w:rsidR="00ED0ACF">
        <w:rPr>
          <w:rFonts w:ascii="Gill Sans MT" w:hAnsi="Gill Sans MT"/>
          <w:sz w:val="36"/>
        </w:rPr>
        <w:t xml:space="preserve"> </w:t>
      </w:r>
      <w:r w:rsidR="00141F90" w:rsidRPr="007C6DBB">
        <w:rPr>
          <w:rFonts w:ascii="Gill Sans MT" w:hAnsi="Gill Sans MT"/>
          <w:sz w:val="15"/>
          <w:szCs w:val="15"/>
        </w:rPr>
        <w:t xml:space="preserve"> </w:t>
      </w:r>
    </w:p>
    <w:p w14:paraId="2D90B3E8" w14:textId="77777777" w:rsidR="00141F90" w:rsidRPr="007C6DBB" w:rsidRDefault="00141F90" w:rsidP="00ED0ACF">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Relates to AQF Second Edition January 2013</w:t>
      </w:r>
    </w:p>
    <w:p w14:paraId="23529A55" w14:textId="77777777" w:rsidR="00141F90" w:rsidRPr="007C6DBB" w:rsidRDefault="00141F90" w:rsidP="00141F90">
      <w:pPr>
        <w:tabs>
          <w:tab w:val="left" w:pos="2268"/>
        </w:tabs>
        <w:snapToGrid w:val="0"/>
        <w:spacing w:after="0" w:line="240" w:lineRule="auto"/>
        <w:rPr>
          <w:rFonts w:ascii="Gill Sans MT" w:hAnsi="Gill Sans MT"/>
          <w:sz w:val="15"/>
          <w:szCs w:val="15"/>
        </w:rPr>
      </w:pPr>
    </w:p>
    <w:p w14:paraId="32F77A8F" w14:textId="77777777" w:rsidR="00141F90" w:rsidRPr="007C6DBB" w:rsidRDefault="007C6DBB" w:rsidP="00141F90">
      <w:pPr>
        <w:tabs>
          <w:tab w:val="left" w:pos="2268"/>
        </w:tabs>
        <w:snapToGrid w:val="0"/>
        <w:spacing w:after="0" w:line="240" w:lineRule="auto"/>
        <w:rPr>
          <w:rFonts w:ascii="Gill Sans MT" w:hAnsi="Gill Sans MT"/>
          <w:sz w:val="15"/>
          <w:szCs w:val="15"/>
        </w:rPr>
      </w:pPr>
      <w:r w:rsidRPr="007C6DBB">
        <w:rPr>
          <w:rFonts w:ascii="Gill Sans MT" w:hAnsi="Gill Sans MT"/>
          <w:sz w:val="15"/>
          <w:szCs w:val="15"/>
        </w:rPr>
        <w:t xml:space="preserve">© </w:t>
      </w:r>
      <w:r w:rsidR="00141F90" w:rsidRPr="007C6DBB">
        <w:rPr>
          <w:rFonts w:ascii="Gill Sans MT" w:hAnsi="Gill Sans MT"/>
          <w:sz w:val="15"/>
          <w:szCs w:val="15"/>
        </w:rPr>
        <w:t xml:space="preserve">Commonwealth of Australia </w:t>
      </w:r>
    </w:p>
    <w:p w14:paraId="5B2584F5" w14:textId="77777777" w:rsidR="007C6DBB" w:rsidRPr="007C6DBB" w:rsidRDefault="007C6DBB" w:rsidP="00141F90">
      <w:pPr>
        <w:tabs>
          <w:tab w:val="left" w:pos="2268"/>
        </w:tabs>
        <w:snapToGrid w:val="0"/>
        <w:spacing w:after="0" w:line="240" w:lineRule="auto"/>
        <w:rPr>
          <w:rFonts w:ascii="Gill Sans MT" w:hAnsi="Gill Sans MT"/>
          <w:sz w:val="15"/>
          <w:szCs w:val="15"/>
        </w:rPr>
      </w:pPr>
    </w:p>
    <w:p w14:paraId="496A9002" w14:textId="77777777" w:rsidR="007C6DBB" w:rsidRDefault="007C6DBB" w:rsidP="007C6DBB">
      <w:pPr>
        <w:tabs>
          <w:tab w:val="left" w:pos="2268"/>
        </w:tabs>
        <w:snapToGrid w:val="0"/>
        <w:spacing w:after="0" w:line="240" w:lineRule="auto"/>
        <w:ind w:right="5765"/>
        <w:rPr>
          <w:rFonts w:ascii="Gill Sans MT" w:hAnsi="Gill Sans MT"/>
          <w:sz w:val="15"/>
          <w:szCs w:val="15"/>
        </w:rPr>
      </w:pPr>
      <w:r w:rsidRPr="007C6DBB">
        <w:rPr>
          <w:rFonts w:ascii="Gill Sans MT" w:hAnsi="Gill Sans MT"/>
          <w:sz w:val="15"/>
          <w:szCs w:val="15"/>
        </w:rPr>
        <w:t xml:space="preserve">This work is copyright. You may download, display, print and reproduce this material in unaltered form only (retaining this notice) for your personal, con-commercial use or use within your organisation. All other rights are reserved. </w:t>
      </w:r>
    </w:p>
    <w:p w14:paraId="182370E0" w14:textId="77777777" w:rsidR="007C6DBB" w:rsidRDefault="007C6DBB">
      <w:pPr>
        <w:rPr>
          <w:rFonts w:ascii="Gill Sans MT" w:hAnsi="Gill Sans MT"/>
          <w:sz w:val="15"/>
          <w:szCs w:val="15"/>
        </w:rPr>
      </w:pPr>
      <w:r>
        <w:rPr>
          <w:rFonts w:ascii="Gill Sans MT" w:hAnsi="Gill Sans MT"/>
          <w:sz w:val="15"/>
          <w:szCs w:val="15"/>
        </w:rPr>
        <w:br w:type="page"/>
      </w:r>
    </w:p>
    <w:p w14:paraId="39853CDC" w14:textId="63894524" w:rsidR="00ED0ACF" w:rsidRDefault="00E3579B" w:rsidP="00ED0ACF">
      <w:pPr>
        <w:tabs>
          <w:tab w:val="left" w:pos="2268"/>
        </w:tabs>
        <w:snapToGrid w:val="0"/>
        <w:spacing w:after="0" w:line="276" w:lineRule="auto"/>
        <w:ind w:right="95"/>
        <w:rPr>
          <w:rFonts w:ascii="Gill Sans MT" w:hAnsi="Gill Sans MT"/>
          <w:sz w:val="40"/>
          <w:szCs w:val="28"/>
        </w:rPr>
      </w:pPr>
      <w:r w:rsidRPr="00864213">
        <w:rPr>
          <w:rFonts w:ascii="Gill Sans MT" w:hAnsi="Gill Sans MT"/>
          <w:noProof/>
          <w:sz w:val="40"/>
          <w:szCs w:val="28"/>
          <w:lang w:eastAsia="en-AU"/>
        </w:rPr>
        <w:lastRenderedPageBreak/>
        <w:drawing>
          <wp:anchor distT="0" distB="0" distL="114300" distR="114300" simplePos="0" relativeHeight="251661312" behindDoc="1" locked="0" layoutInCell="1" allowOverlap="1" wp14:anchorId="1ACD80E7" wp14:editId="39DDE211">
            <wp:simplePos x="0" y="0"/>
            <wp:positionH relativeFrom="page">
              <wp:posOffset>6936</wp:posOffset>
            </wp:positionH>
            <wp:positionV relativeFrom="paragraph">
              <wp:posOffset>-956310</wp:posOffset>
            </wp:positionV>
            <wp:extent cx="177800" cy="1071646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1">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r w:rsidR="007C6DBB" w:rsidRPr="00864213">
        <w:rPr>
          <w:rFonts w:ascii="Gill Sans MT" w:hAnsi="Gill Sans MT"/>
          <w:sz w:val="40"/>
          <w:szCs w:val="28"/>
        </w:rPr>
        <w:t xml:space="preserve">Addendum No. </w:t>
      </w:r>
      <w:r w:rsidR="002E0784">
        <w:rPr>
          <w:rFonts w:ascii="Gill Sans MT" w:hAnsi="Gill Sans MT"/>
          <w:sz w:val="40"/>
          <w:szCs w:val="28"/>
        </w:rPr>
        <w:t>7</w:t>
      </w:r>
      <w:r w:rsidR="00ED0ACF" w:rsidRPr="00864213">
        <w:rPr>
          <w:rFonts w:ascii="Gill Sans MT" w:hAnsi="Gill Sans MT"/>
          <w:sz w:val="40"/>
          <w:szCs w:val="28"/>
        </w:rPr>
        <w:t xml:space="preserve"> (Part B)</w:t>
      </w:r>
      <w:r w:rsidR="007C6DBB" w:rsidRPr="00864213">
        <w:rPr>
          <w:rFonts w:ascii="Gill Sans MT" w:hAnsi="Gill Sans MT"/>
          <w:sz w:val="40"/>
          <w:szCs w:val="28"/>
        </w:rPr>
        <w:t xml:space="preserve"> to AQF Second Edition January 2013</w:t>
      </w:r>
      <w:r w:rsidR="00ED0ACF">
        <w:rPr>
          <w:rFonts w:ascii="Gill Sans MT" w:hAnsi="Gill Sans MT"/>
          <w:sz w:val="40"/>
          <w:szCs w:val="28"/>
        </w:rPr>
        <w:t xml:space="preserve"> </w:t>
      </w:r>
    </w:p>
    <w:p w14:paraId="670196F3" w14:textId="600D8095" w:rsidR="00ED0ACF" w:rsidRPr="0066076B" w:rsidRDefault="0066076B" w:rsidP="0066076B">
      <w:pPr>
        <w:tabs>
          <w:tab w:val="left" w:pos="2268"/>
        </w:tabs>
        <w:snapToGrid w:val="0"/>
        <w:spacing w:after="0" w:line="276" w:lineRule="auto"/>
        <w:ind w:right="-340"/>
        <w:rPr>
          <w:rFonts w:ascii="Gill Sans MT" w:hAnsi="Gill Sans MT"/>
          <w:sz w:val="35"/>
          <w:szCs w:val="35"/>
        </w:rPr>
      </w:pPr>
      <w:r w:rsidRPr="0066076B">
        <w:rPr>
          <w:rFonts w:ascii="Gill Sans MT" w:hAnsi="Gill Sans MT"/>
          <w:sz w:val="35"/>
          <w:szCs w:val="35"/>
        </w:rPr>
        <w:t xml:space="preserve">Vocational Degree: </w:t>
      </w:r>
      <w:r w:rsidR="00ED0ACF" w:rsidRPr="0066076B">
        <w:rPr>
          <w:rFonts w:ascii="Gill Sans MT" w:hAnsi="Gill Sans MT"/>
          <w:sz w:val="35"/>
          <w:szCs w:val="35"/>
        </w:rPr>
        <w:t xml:space="preserve">Updates to AQF Issuance Policy and Glossary  </w:t>
      </w:r>
    </w:p>
    <w:p w14:paraId="3E841D85" w14:textId="370E9A2B" w:rsidR="00DA6EA3" w:rsidRPr="00ED0ACF" w:rsidRDefault="00DA6EA3" w:rsidP="00417856">
      <w:pPr>
        <w:tabs>
          <w:tab w:val="left" w:pos="2268"/>
        </w:tabs>
        <w:snapToGrid w:val="0"/>
        <w:spacing w:before="240" w:after="0" w:line="276" w:lineRule="auto"/>
        <w:ind w:right="-284"/>
        <w:rPr>
          <w:rFonts w:ascii="Gill Sans MT" w:hAnsi="Gill Sans MT"/>
        </w:rPr>
      </w:pPr>
      <w:r w:rsidRPr="00ED0ACF">
        <w:rPr>
          <w:rFonts w:ascii="Gill Sans MT" w:hAnsi="Gill Sans MT"/>
        </w:rPr>
        <w:t xml:space="preserve">Education and Skills Ministers (formerly the Council of Australian Governments (COAG) Education and Skills Councils) have endorsed </w:t>
      </w:r>
      <w:r w:rsidR="00ED0ACF" w:rsidRPr="00ED0ACF">
        <w:rPr>
          <w:rFonts w:ascii="Gill Sans MT" w:hAnsi="Gill Sans MT"/>
        </w:rPr>
        <w:t xml:space="preserve">the following updates to the </w:t>
      </w:r>
      <w:r w:rsidR="00ED0ACF" w:rsidRPr="00DD7AC0">
        <w:rPr>
          <w:rFonts w:ascii="Gill Sans MT" w:hAnsi="Gill Sans MT"/>
          <w:i/>
          <w:iCs/>
        </w:rPr>
        <w:t>AQF Issuance Policy</w:t>
      </w:r>
      <w:r w:rsidR="00ED0ACF" w:rsidRPr="00ED0ACF">
        <w:rPr>
          <w:rFonts w:ascii="Gill Sans MT" w:hAnsi="Gill Sans MT"/>
        </w:rPr>
        <w:t xml:space="preserve"> and the </w:t>
      </w:r>
      <w:r w:rsidR="00ED0ACF" w:rsidRPr="00DD7AC0">
        <w:rPr>
          <w:rFonts w:ascii="Gill Sans MT" w:hAnsi="Gill Sans MT"/>
          <w:i/>
          <w:iCs/>
        </w:rPr>
        <w:t>AQF Glossary</w:t>
      </w:r>
      <w:r w:rsidR="00ED0ACF" w:rsidRPr="00ED0ACF">
        <w:rPr>
          <w:rFonts w:ascii="Gill Sans MT" w:hAnsi="Gill Sans MT"/>
        </w:rPr>
        <w:t xml:space="preserve"> as an </w:t>
      </w:r>
      <w:r w:rsidRPr="00ED0ACF">
        <w:rPr>
          <w:rFonts w:ascii="Gill Sans MT" w:hAnsi="Gill Sans MT"/>
        </w:rPr>
        <w:t>addendum to the AQF Second Edition 2013.</w:t>
      </w:r>
      <w:r w:rsidR="00ED0ACF" w:rsidRPr="00ED0ACF">
        <w:rPr>
          <w:rFonts w:ascii="Gill Sans MT" w:hAnsi="Gill Sans MT"/>
        </w:rPr>
        <w:t xml:space="preserve"> These amendments will support the introduction of the Vocational </w:t>
      </w:r>
      <w:r w:rsidR="00ED0ACF" w:rsidRPr="00417856">
        <w:rPr>
          <w:rFonts w:ascii="Gill Sans MT" w:hAnsi="Gill Sans MT"/>
        </w:rPr>
        <w:t>Degree</w:t>
      </w:r>
      <w:r w:rsidR="00A07F12" w:rsidRPr="00417856">
        <w:rPr>
          <w:rFonts w:ascii="Gill Sans MT" w:hAnsi="Gill Sans MT"/>
        </w:rPr>
        <w:t xml:space="preserve"> specifications</w:t>
      </w:r>
      <w:r w:rsidR="0020375D" w:rsidRPr="00417856">
        <w:rPr>
          <w:rFonts w:ascii="Gill Sans MT" w:hAnsi="Gill Sans MT"/>
        </w:rPr>
        <w:t xml:space="preserve"> (Addendum No. </w:t>
      </w:r>
      <w:r w:rsidR="00417856" w:rsidRPr="00417856">
        <w:rPr>
          <w:rFonts w:ascii="Gill Sans MT" w:hAnsi="Gill Sans MT"/>
        </w:rPr>
        <w:t>7</w:t>
      </w:r>
      <w:r w:rsidR="0020375D" w:rsidRPr="00417856">
        <w:rPr>
          <w:rFonts w:ascii="Gill Sans MT" w:hAnsi="Gill Sans MT"/>
        </w:rPr>
        <w:t xml:space="preserve"> [Part A]).</w:t>
      </w:r>
    </w:p>
    <w:p w14:paraId="6AEC3890" w14:textId="77777777" w:rsidR="00ED0ACF" w:rsidRPr="00A07F12" w:rsidRDefault="00ED0ACF" w:rsidP="00417856">
      <w:pPr>
        <w:spacing w:after="0"/>
        <w:rPr>
          <w:rFonts w:ascii="Gill Sans MT" w:hAnsi="Gill Sans MT"/>
        </w:rPr>
      </w:pPr>
    </w:p>
    <w:p w14:paraId="2E8FC780" w14:textId="605F3356" w:rsidR="00ED0ACF" w:rsidRPr="00A07F12" w:rsidRDefault="00ED0ACF" w:rsidP="00417856">
      <w:pPr>
        <w:spacing w:after="0"/>
        <w:rPr>
          <w:rFonts w:ascii="Gill Sans MT" w:hAnsi="Gill Sans MT"/>
          <w:b/>
          <w:bCs/>
        </w:rPr>
      </w:pPr>
      <w:r w:rsidRPr="00A07F12">
        <w:rPr>
          <w:rFonts w:ascii="Gill Sans MT" w:hAnsi="Gill Sans MT"/>
          <w:b/>
          <w:bCs/>
        </w:rPr>
        <w:t>AQF Issuance Policy</w:t>
      </w:r>
    </w:p>
    <w:p w14:paraId="461A090F" w14:textId="379CC355" w:rsidR="00A07F12" w:rsidRPr="00A07F12" w:rsidRDefault="00A07F12" w:rsidP="00A07F12">
      <w:pPr>
        <w:rPr>
          <w:rFonts w:ascii="Gill Sans MT" w:hAnsi="Gill Sans MT"/>
        </w:rPr>
      </w:pPr>
      <w:r w:rsidRPr="00A07F12">
        <w:rPr>
          <w:rFonts w:ascii="Gill Sans MT" w:hAnsi="Gill Sans MT"/>
        </w:rPr>
        <w:t>The following AQF qualifications titles</w:t>
      </w:r>
      <w:r w:rsidR="00DD7AC0">
        <w:rPr>
          <w:rFonts w:ascii="Gill Sans MT" w:hAnsi="Gill Sans MT"/>
        </w:rPr>
        <w:t xml:space="preserve"> </w:t>
      </w:r>
      <w:r w:rsidR="0020375D">
        <w:rPr>
          <w:rFonts w:ascii="Gill Sans MT" w:hAnsi="Gill Sans MT"/>
        </w:rPr>
        <w:t>listing</w:t>
      </w:r>
      <w:r w:rsidRPr="00A07F12">
        <w:rPr>
          <w:rFonts w:ascii="Gill Sans MT" w:hAnsi="Gill Sans MT"/>
        </w:rPr>
        <w:t xml:space="preserve"> replace</w:t>
      </w:r>
      <w:r w:rsidR="00B30BDB">
        <w:rPr>
          <w:rFonts w:ascii="Gill Sans MT" w:hAnsi="Gill Sans MT"/>
        </w:rPr>
        <w:t>s</w:t>
      </w:r>
      <w:r w:rsidRPr="00A07F12">
        <w:rPr>
          <w:rFonts w:ascii="Gill Sans MT" w:hAnsi="Gill Sans MT"/>
        </w:rPr>
        <w:t xml:space="preserve"> the </w:t>
      </w:r>
      <w:r w:rsidR="00DD7AC0">
        <w:rPr>
          <w:rFonts w:ascii="Gill Sans MT" w:hAnsi="Gill Sans MT"/>
        </w:rPr>
        <w:t xml:space="preserve">current titles </w:t>
      </w:r>
      <w:r w:rsidRPr="00A07F12">
        <w:rPr>
          <w:rFonts w:ascii="Gill Sans MT" w:hAnsi="Gill Sans MT"/>
        </w:rPr>
        <w:t xml:space="preserve">under </w:t>
      </w:r>
      <w:r w:rsidR="00DD7AC0">
        <w:rPr>
          <w:rFonts w:ascii="Gill Sans MT" w:hAnsi="Gill Sans MT"/>
        </w:rPr>
        <w:t>s</w:t>
      </w:r>
      <w:r w:rsidRPr="00DD7AC0">
        <w:rPr>
          <w:rFonts w:ascii="Gill Sans MT" w:hAnsi="Gill Sans MT"/>
          <w:i/>
          <w:iCs/>
        </w:rPr>
        <w:t xml:space="preserve">ection </w:t>
      </w:r>
      <w:r w:rsidR="00ED0ACF" w:rsidRPr="00DD7AC0">
        <w:rPr>
          <w:rFonts w:ascii="Gill Sans MT" w:hAnsi="Gill Sans MT"/>
          <w:i/>
          <w:iCs/>
        </w:rPr>
        <w:t>2.</w:t>
      </w:r>
      <w:r w:rsidRPr="00DD7AC0">
        <w:rPr>
          <w:rFonts w:ascii="Gill Sans MT" w:hAnsi="Gill Sans MT"/>
          <w:i/>
          <w:iCs/>
        </w:rPr>
        <w:t>3</w:t>
      </w:r>
      <w:r w:rsidR="00DD7AC0" w:rsidRPr="00DD7AC0">
        <w:rPr>
          <w:rFonts w:ascii="Gill Sans MT" w:hAnsi="Gill Sans MT"/>
          <w:i/>
          <w:iCs/>
        </w:rPr>
        <w:t xml:space="preserve"> AQF qualifications titles</w:t>
      </w:r>
      <w:r w:rsidR="00DD7AC0">
        <w:rPr>
          <w:rFonts w:ascii="Gill Sans MT" w:hAnsi="Gill Sans MT"/>
        </w:rPr>
        <w:t xml:space="preserve"> </w:t>
      </w:r>
      <w:r w:rsidR="00C966A1">
        <w:rPr>
          <w:rFonts w:ascii="Gill Sans MT" w:hAnsi="Gill Sans MT"/>
        </w:rPr>
        <w:t xml:space="preserve">(page 72) </w:t>
      </w:r>
      <w:r w:rsidR="00DD7AC0">
        <w:rPr>
          <w:rFonts w:ascii="Gill Sans MT" w:hAnsi="Gill Sans MT"/>
        </w:rPr>
        <w:t xml:space="preserve">of the </w:t>
      </w:r>
      <w:r w:rsidR="00DD7AC0" w:rsidRPr="00DD7AC0">
        <w:rPr>
          <w:rFonts w:ascii="Gill Sans MT" w:hAnsi="Gill Sans MT"/>
          <w:i/>
          <w:iCs/>
        </w:rPr>
        <w:t>AQF Issuance Policy</w:t>
      </w:r>
      <w:r w:rsidRPr="00A07F12">
        <w:rPr>
          <w:rFonts w:ascii="Gill Sans MT" w:hAnsi="Gill Sans MT"/>
        </w:rPr>
        <w:t>.</w:t>
      </w:r>
      <w:r w:rsidR="00ED0ACF" w:rsidRPr="00A07F12">
        <w:rPr>
          <w:rFonts w:ascii="Gill Sans MT" w:hAnsi="Gill Sans MT"/>
        </w:rPr>
        <w:t xml:space="preserve"> </w:t>
      </w:r>
    </w:p>
    <w:p w14:paraId="39308A7E" w14:textId="6BBB754A" w:rsidR="00A07F12" w:rsidRPr="00A07F12" w:rsidRDefault="00B30BDB" w:rsidP="00984861">
      <w:pPr>
        <w:spacing w:after="80"/>
        <w:rPr>
          <w:rFonts w:ascii="Gill Sans MT" w:hAnsi="Gill Sans MT"/>
        </w:rPr>
      </w:pPr>
      <w:r>
        <w:rPr>
          <w:rFonts w:ascii="Gill Sans MT" w:hAnsi="Gill Sans MT"/>
        </w:rPr>
        <w:t>Note: t</w:t>
      </w:r>
      <w:r w:rsidR="00DD7AC0">
        <w:rPr>
          <w:rFonts w:ascii="Gill Sans MT" w:hAnsi="Gill Sans MT"/>
        </w:rPr>
        <w:t xml:space="preserve">he only change </w:t>
      </w:r>
      <w:r w:rsidR="0020375D">
        <w:rPr>
          <w:rFonts w:ascii="Gill Sans MT" w:hAnsi="Gill Sans MT"/>
        </w:rPr>
        <w:t xml:space="preserve">to the </w:t>
      </w:r>
      <w:r>
        <w:rPr>
          <w:rFonts w:ascii="Gill Sans MT" w:hAnsi="Gill Sans MT"/>
        </w:rPr>
        <w:t xml:space="preserve">qualifications titles </w:t>
      </w:r>
      <w:r w:rsidR="0020375D">
        <w:rPr>
          <w:rFonts w:ascii="Gill Sans MT" w:hAnsi="Gill Sans MT"/>
        </w:rPr>
        <w:t xml:space="preserve">list </w:t>
      </w:r>
      <w:r w:rsidR="00DD7AC0">
        <w:rPr>
          <w:rFonts w:ascii="Gill Sans MT" w:hAnsi="Gill Sans MT"/>
        </w:rPr>
        <w:t>is the addition of the Vocational Degree.</w:t>
      </w:r>
    </w:p>
    <w:tbl>
      <w:tblPr>
        <w:tblW w:w="9498" w:type="dxa"/>
        <w:tblInd w:w="-8" w:type="dxa"/>
        <w:tblBorders>
          <w:top w:val="single" w:sz="4" w:space="0" w:color="05D1CC"/>
          <w:left w:val="single" w:sz="4" w:space="0" w:color="05D1CC"/>
          <w:bottom w:val="single" w:sz="4" w:space="0" w:color="05D1CC"/>
          <w:right w:val="single" w:sz="4" w:space="0" w:color="05D1CC"/>
          <w:insideH w:val="single" w:sz="4" w:space="0" w:color="05D1CC"/>
          <w:insideV w:val="single" w:sz="4" w:space="0" w:color="05D1CC"/>
        </w:tblBorders>
        <w:tblLayout w:type="fixed"/>
        <w:tblLook w:val="0000" w:firstRow="0" w:lastRow="0" w:firstColumn="0" w:lastColumn="0" w:noHBand="0" w:noVBand="0"/>
      </w:tblPr>
      <w:tblGrid>
        <w:gridCol w:w="1560"/>
        <w:gridCol w:w="3260"/>
        <w:gridCol w:w="4678"/>
      </w:tblGrid>
      <w:tr w:rsidR="00A07F12" w:rsidRPr="00A07F12" w14:paraId="63B334E1" w14:textId="77777777" w:rsidTr="009F2C96">
        <w:trPr>
          <w:trHeight w:val="341"/>
        </w:trPr>
        <w:tc>
          <w:tcPr>
            <w:tcW w:w="1560" w:type="dxa"/>
            <w:shd w:val="clear" w:color="auto" w:fill="DEEAF6" w:themeFill="accent1" w:themeFillTint="33"/>
            <w:vAlign w:val="center"/>
          </w:tcPr>
          <w:p w14:paraId="076A50BE" w14:textId="5CA9D343" w:rsidR="00ED0ACF" w:rsidRPr="00A07F12" w:rsidRDefault="00ED0ACF" w:rsidP="009F2C96">
            <w:pPr>
              <w:spacing w:after="0" w:line="240" w:lineRule="auto"/>
              <w:jc w:val="center"/>
              <w:rPr>
                <w:rFonts w:ascii="Gill Sans MT" w:hAnsi="Gill Sans MT"/>
              </w:rPr>
            </w:pPr>
            <w:r w:rsidRPr="00A07F12">
              <w:rPr>
                <w:rFonts w:ascii="Gill Sans MT" w:hAnsi="Gill Sans MT"/>
                <w:b/>
                <w:bCs/>
              </w:rPr>
              <w:t>AQF level</w:t>
            </w:r>
          </w:p>
        </w:tc>
        <w:tc>
          <w:tcPr>
            <w:tcW w:w="3260" w:type="dxa"/>
            <w:shd w:val="clear" w:color="auto" w:fill="DEEAF6" w:themeFill="accent1" w:themeFillTint="33"/>
            <w:vAlign w:val="center"/>
          </w:tcPr>
          <w:p w14:paraId="14A84D49" w14:textId="7A1A96CA" w:rsidR="00ED0ACF" w:rsidRPr="00A07F12" w:rsidRDefault="00ED0ACF" w:rsidP="009F2C96">
            <w:pPr>
              <w:spacing w:after="0" w:line="240" w:lineRule="auto"/>
              <w:jc w:val="center"/>
              <w:rPr>
                <w:rFonts w:ascii="Gill Sans MT" w:hAnsi="Gill Sans MT"/>
              </w:rPr>
            </w:pPr>
            <w:r w:rsidRPr="00A07F12">
              <w:rPr>
                <w:rFonts w:ascii="Gill Sans MT" w:hAnsi="Gill Sans MT"/>
                <w:b/>
                <w:bCs/>
              </w:rPr>
              <w:t>Qualification Type</w:t>
            </w:r>
          </w:p>
        </w:tc>
        <w:tc>
          <w:tcPr>
            <w:tcW w:w="4678" w:type="dxa"/>
            <w:shd w:val="clear" w:color="auto" w:fill="DEEAF6" w:themeFill="accent1" w:themeFillTint="33"/>
            <w:vAlign w:val="center"/>
          </w:tcPr>
          <w:p w14:paraId="17A9AF35" w14:textId="6917C156" w:rsidR="00ED0ACF" w:rsidRPr="00A07F12" w:rsidRDefault="00ED0ACF" w:rsidP="009F2C96">
            <w:pPr>
              <w:spacing w:after="0" w:line="240" w:lineRule="auto"/>
              <w:jc w:val="center"/>
              <w:rPr>
                <w:rFonts w:ascii="Gill Sans MT" w:hAnsi="Gill Sans MT"/>
              </w:rPr>
            </w:pPr>
            <w:r w:rsidRPr="00A07F12">
              <w:rPr>
                <w:rFonts w:ascii="Gill Sans MT" w:hAnsi="Gill Sans MT"/>
                <w:b/>
                <w:bCs/>
              </w:rPr>
              <w:t>Qualification Title</w:t>
            </w:r>
          </w:p>
        </w:tc>
      </w:tr>
      <w:tr w:rsidR="00ED0ACF" w:rsidRPr="00A07F12" w14:paraId="020482A0" w14:textId="77777777" w:rsidTr="00625C42">
        <w:trPr>
          <w:trHeight w:val="867"/>
        </w:trPr>
        <w:tc>
          <w:tcPr>
            <w:tcW w:w="1560" w:type="dxa"/>
            <w:shd w:val="clear" w:color="auto" w:fill="DEEAF6" w:themeFill="accent1" w:themeFillTint="33"/>
          </w:tcPr>
          <w:p w14:paraId="30B4B14D" w14:textId="53F85220" w:rsidR="00ED0ACF" w:rsidRPr="00A07F12" w:rsidRDefault="00ED0ACF" w:rsidP="009F2C96">
            <w:pPr>
              <w:spacing w:before="120" w:after="0" w:line="240" w:lineRule="auto"/>
              <w:jc w:val="center"/>
              <w:rPr>
                <w:rFonts w:ascii="Gill Sans MT" w:hAnsi="Gill Sans MT"/>
              </w:rPr>
            </w:pPr>
          </w:p>
        </w:tc>
        <w:tc>
          <w:tcPr>
            <w:tcW w:w="3260" w:type="dxa"/>
            <w:shd w:val="clear" w:color="auto" w:fill="DEEAF6" w:themeFill="accent1" w:themeFillTint="33"/>
          </w:tcPr>
          <w:p w14:paraId="6D009784" w14:textId="78737FF2" w:rsidR="00ED0ACF" w:rsidRPr="00A07F12" w:rsidRDefault="00ED0ACF" w:rsidP="009F2C96">
            <w:pPr>
              <w:spacing w:before="120" w:after="0" w:line="240" w:lineRule="auto"/>
              <w:rPr>
                <w:rFonts w:ascii="Gill Sans MT" w:hAnsi="Gill Sans MT"/>
              </w:rPr>
            </w:pPr>
            <w:r w:rsidRPr="00A07F12">
              <w:rPr>
                <w:rFonts w:ascii="Gill Sans MT" w:hAnsi="Gill Sans MT"/>
              </w:rPr>
              <w:t>Senior Secondary Certificate of Education</w:t>
            </w:r>
          </w:p>
        </w:tc>
        <w:tc>
          <w:tcPr>
            <w:tcW w:w="4678" w:type="dxa"/>
            <w:shd w:val="clear" w:color="auto" w:fill="DEEAF6" w:themeFill="accent1" w:themeFillTint="33"/>
          </w:tcPr>
          <w:p w14:paraId="4AC1A5DA"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Titles will vary across jurisdictions; the use of the titles will be accompanied by the statement: ‘(Certificate Title) is a Senior Secondary Certificate of Education within the Australian Qualifications Framework.’ </w:t>
            </w:r>
          </w:p>
        </w:tc>
      </w:tr>
      <w:tr w:rsidR="00A07F12" w:rsidRPr="00A07F12" w14:paraId="0C15EB55" w14:textId="77777777" w:rsidTr="00625C42">
        <w:trPr>
          <w:trHeight w:val="100"/>
        </w:trPr>
        <w:tc>
          <w:tcPr>
            <w:tcW w:w="1560" w:type="dxa"/>
            <w:shd w:val="clear" w:color="auto" w:fill="DEEAF6" w:themeFill="accent1" w:themeFillTint="33"/>
          </w:tcPr>
          <w:p w14:paraId="0213F338" w14:textId="04BB052B"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1</w:t>
            </w:r>
          </w:p>
        </w:tc>
        <w:tc>
          <w:tcPr>
            <w:tcW w:w="3260" w:type="dxa"/>
            <w:shd w:val="clear" w:color="auto" w:fill="DEEAF6" w:themeFill="accent1" w:themeFillTint="33"/>
          </w:tcPr>
          <w:p w14:paraId="52665C93"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 </w:t>
            </w:r>
          </w:p>
        </w:tc>
        <w:tc>
          <w:tcPr>
            <w:tcW w:w="4678" w:type="dxa"/>
            <w:shd w:val="clear" w:color="auto" w:fill="DEEAF6" w:themeFill="accent1" w:themeFillTint="33"/>
          </w:tcPr>
          <w:p w14:paraId="3BFA4AD7"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 (Field of study/discipline) </w:t>
            </w:r>
          </w:p>
        </w:tc>
      </w:tr>
      <w:tr w:rsidR="00A07F12" w:rsidRPr="00A07F12" w14:paraId="006615D6" w14:textId="77777777" w:rsidTr="00625C42">
        <w:trPr>
          <w:trHeight w:val="100"/>
        </w:trPr>
        <w:tc>
          <w:tcPr>
            <w:tcW w:w="1560" w:type="dxa"/>
            <w:shd w:val="clear" w:color="auto" w:fill="DEEAF6" w:themeFill="accent1" w:themeFillTint="33"/>
          </w:tcPr>
          <w:p w14:paraId="3FF1CB75" w14:textId="15C1F101"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2</w:t>
            </w:r>
          </w:p>
        </w:tc>
        <w:tc>
          <w:tcPr>
            <w:tcW w:w="3260" w:type="dxa"/>
            <w:shd w:val="clear" w:color="auto" w:fill="DEEAF6" w:themeFill="accent1" w:themeFillTint="33"/>
          </w:tcPr>
          <w:p w14:paraId="3A172E75"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II </w:t>
            </w:r>
          </w:p>
        </w:tc>
        <w:tc>
          <w:tcPr>
            <w:tcW w:w="4678" w:type="dxa"/>
            <w:shd w:val="clear" w:color="auto" w:fill="DEEAF6" w:themeFill="accent1" w:themeFillTint="33"/>
          </w:tcPr>
          <w:p w14:paraId="265E0803"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II (Field of study/discipline) </w:t>
            </w:r>
          </w:p>
        </w:tc>
      </w:tr>
      <w:tr w:rsidR="00A07F12" w:rsidRPr="00A07F12" w14:paraId="3B3C0C1D" w14:textId="77777777" w:rsidTr="00625C42">
        <w:trPr>
          <w:trHeight w:val="100"/>
        </w:trPr>
        <w:tc>
          <w:tcPr>
            <w:tcW w:w="1560" w:type="dxa"/>
            <w:shd w:val="clear" w:color="auto" w:fill="DEEAF6" w:themeFill="accent1" w:themeFillTint="33"/>
          </w:tcPr>
          <w:p w14:paraId="676075CD" w14:textId="4C47778C"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3</w:t>
            </w:r>
          </w:p>
        </w:tc>
        <w:tc>
          <w:tcPr>
            <w:tcW w:w="3260" w:type="dxa"/>
            <w:shd w:val="clear" w:color="auto" w:fill="DEEAF6" w:themeFill="accent1" w:themeFillTint="33"/>
          </w:tcPr>
          <w:p w14:paraId="7A94291D"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III </w:t>
            </w:r>
          </w:p>
        </w:tc>
        <w:tc>
          <w:tcPr>
            <w:tcW w:w="4678" w:type="dxa"/>
            <w:shd w:val="clear" w:color="auto" w:fill="DEEAF6" w:themeFill="accent1" w:themeFillTint="33"/>
          </w:tcPr>
          <w:p w14:paraId="20FA3E7D"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III (Field of study/discipline) </w:t>
            </w:r>
          </w:p>
        </w:tc>
      </w:tr>
      <w:tr w:rsidR="00A07F12" w:rsidRPr="00A07F12" w14:paraId="78735D68" w14:textId="77777777" w:rsidTr="00625C42">
        <w:trPr>
          <w:trHeight w:val="100"/>
        </w:trPr>
        <w:tc>
          <w:tcPr>
            <w:tcW w:w="1560" w:type="dxa"/>
            <w:shd w:val="clear" w:color="auto" w:fill="DEEAF6" w:themeFill="accent1" w:themeFillTint="33"/>
          </w:tcPr>
          <w:p w14:paraId="09A9920D" w14:textId="6CC21AEF"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4</w:t>
            </w:r>
          </w:p>
        </w:tc>
        <w:tc>
          <w:tcPr>
            <w:tcW w:w="3260" w:type="dxa"/>
            <w:shd w:val="clear" w:color="auto" w:fill="DEEAF6" w:themeFill="accent1" w:themeFillTint="33"/>
          </w:tcPr>
          <w:p w14:paraId="4954A436"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IV </w:t>
            </w:r>
          </w:p>
        </w:tc>
        <w:tc>
          <w:tcPr>
            <w:tcW w:w="4678" w:type="dxa"/>
            <w:shd w:val="clear" w:color="auto" w:fill="DEEAF6" w:themeFill="accent1" w:themeFillTint="33"/>
          </w:tcPr>
          <w:p w14:paraId="4F2C7AE4"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Certificate IV (Field of study/discipline) </w:t>
            </w:r>
          </w:p>
        </w:tc>
      </w:tr>
      <w:tr w:rsidR="00A07F12" w:rsidRPr="00A07F12" w14:paraId="65CB7462" w14:textId="77777777" w:rsidTr="00625C42">
        <w:trPr>
          <w:trHeight w:val="100"/>
        </w:trPr>
        <w:tc>
          <w:tcPr>
            <w:tcW w:w="1560" w:type="dxa"/>
            <w:shd w:val="clear" w:color="auto" w:fill="DEEAF6" w:themeFill="accent1" w:themeFillTint="33"/>
          </w:tcPr>
          <w:p w14:paraId="7CD36426" w14:textId="6D90444C"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5</w:t>
            </w:r>
          </w:p>
        </w:tc>
        <w:tc>
          <w:tcPr>
            <w:tcW w:w="3260" w:type="dxa"/>
            <w:shd w:val="clear" w:color="auto" w:fill="DEEAF6" w:themeFill="accent1" w:themeFillTint="33"/>
          </w:tcPr>
          <w:p w14:paraId="54B6124B"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Diploma </w:t>
            </w:r>
          </w:p>
        </w:tc>
        <w:tc>
          <w:tcPr>
            <w:tcW w:w="4678" w:type="dxa"/>
            <w:shd w:val="clear" w:color="auto" w:fill="DEEAF6" w:themeFill="accent1" w:themeFillTint="33"/>
          </w:tcPr>
          <w:p w14:paraId="67E8B743"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Diploma (Field of study/discipline) </w:t>
            </w:r>
          </w:p>
        </w:tc>
      </w:tr>
      <w:tr w:rsidR="00A07F12" w:rsidRPr="00A07F12" w14:paraId="2F369AAE" w14:textId="77777777" w:rsidTr="00625C42">
        <w:trPr>
          <w:trHeight w:val="257"/>
        </w:trPr>
        <w:tc>
          <w:tcPr>
            <w:tcW w:w="1560" w:type="dxa"/>
            <w:shd w:val="clear" w:color="auto" w:fill="DEEAF6" w:themeFill="accent1" w:themeFillTint="33"/>
          </w:tcPr>
          <w:p w14:paraId="493CB4C9" w14:textId="52991304"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6</w:t>
            </w:r>
          </w:p>
        </w:tc>
        <w:tc>
          <w:tcPr>
            <w:tcW w:w="3260" w:type="dxa"/>
            <w:shd w:val="clear" w:color="auto" w:fill="DEEAF6" w:themeFill="accent1" w:themeFillTint="33"/>
          </w:tcPr>
          <w:p w14:paraId="38F04D0D"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Advanced Diploma </w:t>
            </w:r>
          </w:p>
        </w:tc>
        <w:tc>
          <w:tcPr>
            <w:tcW w:w="4678" w:type="dxa"/>
            <w:shd w:val="clear" w:color="auto" w:fill="DEEAF6" w:themeFill="accent1" w:themeFillTint="33"/>
          </w:tcPr>
          <w:p w14:paraId="75C8B0E1"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Advanced Diploma (Field of study/discipline) </w:t>
            </w:r>
          </w:p>
        </w:tc>
      </w:tr>
      <w:tr w:rsidR="00A07F12" w:rsidRPr="00A07F12" w14:paraId="2989198C" w14:textId="77777777" w:rsidTr="00625C42">
        <w:trPr>
          <w:trHeight w:val="257"/>
        </w:trPr>
        <w:tc>
          <w:tcPr>
            <w:tcW w:w="1560" w:type="dxa"/>
            <w:shd w:val="clear" w:color="auto" w:fill="DEEAF6" w:themeFill="accent1" w:themeFillTint="33"/>
          </w:tcPr>
          <w:p w14:paraId="5CD8D143" w14:textId="557B6096"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6</w:t>
            </w:r>
          </w:p>
        </w:tc>
        <w:tc>
          <w:tcPr>
            <w:tcW w:w="3260" w:type="dxa"/>
            <w:shd w:val="clear" w:color="auto" w:fill="DEEAF6" w:themeFill="accent1" w:themeFillTint="33"/>
          </w:tcPr>
          <w:p w14:paraId="04E0DF32"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Associate Degree </w:t>
            </w:r>
          </w:p>
        </w:tc>
        <w:tc>
          <w:tcPr>
            <w:tcW w:w="4678" w:type="dxa"/>
            <w:shd w:val="clear" w:color="auto" w:fill="DEEAF6" w:themeFill="accent1" w:themeFillTint="33"/>
          </w:tcPr>
          <w:p w14:paraId="41DF2B33"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Associate Degree (Field of study/discipline) </w:t>
            </w:r>
          </w:p>
        </w:tc>
      </w:tr>
      <w:tr w:rsidR="00A07F12" w:rsidRPr="00A07F12" w14:paraId="0CCB32B3" w14:textId="77777777" w:rsidTr="00625C42">
        <w:trPr>
          <w:trHeight w:val="257"/>
        </w:trPr>
        <w:tc>
          <w:tcPr>
            <w:tcW w:w="1560" w:type="dxa"/>
            <w:shd w:val="clear" w:color="auto" w:fill="DEEAF6" w:themeFill="accent1" w:themeFillTint="33"/>
          </w:tcPr>
          <w:p w14:paraId="0BA5D76B" w14:textId="7935360D"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7</w:t>
            </w:r>
          </w:p>
        </w:tc>
        <w:tc>
          <w:tcPr>
            <w:tcW w:w="3260" w:type="dxa"/>
            <w:shd w:val="clear" w:color="auto" w:fill="DEEAF6" w:themeFill="accent1" w:themeFillTint="33"/>
          </w:tcPr>
          <w:p w14:paraId="7445E940"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Vocational Degree </w:t>
            </w:r>
          </w:p>
        </w:tc>
        <w:tc>
          <w:tcPr>
            <w:tcW w:w="4678" w:type="dxa"/>
            <w:shd w:val="clear" w:color="auto" w:fill="DEEAF6" w:themeFill="accent1" w:themeFillTint="33"/>
          </w:tcPr>
          <w:p w14:paraId="39124419"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Vocational Degree (Field of study/discipline) </w:t>
            </w:r>
          </w:p>
        </w:tc>
      </w:tr>
      <w:tr w:rsidR="00A07F12" w:rsidRPr="00A07F12" w14:paraId="01DA9C3A" w14:textId="77777777" w:rsidTr="00625C42">
        <w:trPr>
          <w:trHeight w:val="100"/>
        </w:trPr>
        <w:tc>
          <w:tcPr>
            <w:tcW w:w="1560" w:type="dxa"/>
            <w:shd w:val="clear" w:color="auto" w:fill="DEEAF6" w:themeFill="accent1" w:themeFillTint="33"/>
          </w:tcPr>
          <w:p w14:paraId="6A64B8AB" w14:textId="09678F94"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7</w:t>
            </w:r>
          </w:p>
        </w:tc>
        <w:tc>
          <w:tcPr>
            <w:tcW w:w="3260" w:type="dxa"/>
            <w:shd w:val="clear" w:color="auto" w:fill="DEEAF6" w:themeFill="accent1" w:themeFillTint="33"/>
          </w:tcPr>
          <w:p w14:paraId="350D6871"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Bachelor Degree </w:t>
            </w:r>
          </w:p>
        </w:tc>
        <w:tc>
          <w:tcPr>
            <w:tcW w:w="4678" w:type="dxa"/>
            <w:shd w:val="clear" w:color="auto" w:fill="DEEAF6" w:themeFill="accent1" w:themeFillTint="33"/>
          </w:tcPr>
          <w:p w14:paraId="5E6C753D"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Bachelor (Field of study/discipline) </w:t>
            </w:r>
          </w:p>
        </w:tc>
      </w:tr>
      <w:tr w:rsidR="004A315F" w:rsidRPr="00A07F12" w14:paraId="51771F9F" w14:textId="77777777" w:rsidTr="00984861">
        <w:trPr>
          <w:trHeight w:val="355"/>
        </w:trPr>
        <w:tc>
          <w:tcPr>
            <w:tcW w:w="1560" w:type="dxa"/>
            <w:shd w:val="clear" w:color="auto" w:fill="DEEAF6" w:themeFill="accent1" w:themeFillTint="33"/>
          </w:tcPr>
          <w:p w14:paraId="3654A566" w14:textId="0C69595A" w:rsidR="004A315F" w:rsidRPr="00A07F12" w:rsidRDefault="004A315F" w:rsidP="00984861">
            <w:pPr>
              <w:spacing w:before="80" w:after="0" w:line="240" w:lineRule="auto"/>
              <w:jc w:val="center"/>
              <w:rPr>
                <w:rFonts w:ascii="Gill Sans MT" w:hAnsi="Gill Sans MT"/>
              </w:rPr>
            </w:pPr>
            <w:r>
              <w:rPr>
                <w:rFonts w:ascii="Gill Sans MT" w:hAnsi="Gill Sans MT"/>
              </w:rPr>
              <w:t>5, 6 or 7</w:t>
            </w:r>
          </w:p>
        </w:tc>
        <w:tc>
          <w:tcPr>
            <w:tcW w:w="3260" w:type="dxa"/>
            <w:shd w:val="clear" w:color="auto" w:fill="DEEAF6" w:themeFill="accent1" w:themeFillTint="33"/>
          </w:tcPr>
          <w:p w14:paraId="685A0847" w14:textId="0D22DAF5" w:rsidR="004A315F" w:rsidRPr="00A07F12" w:rsidRDefault="004A315F" w:rsidP="00984861">
            <w:pPr>
              <w:spacing w:before="80" w:after="0" w:line="240" w:lineRule="auto"/>
              <w:rPr>
                <w:rFonts w:ascii="Gill Sans MT" w:hAnsi="Gill Sans MT"/>
              </w:rPr>
            </w:pPr>
            <w:r>
              <w:rPr>
                <w:rFonts w:ascii="Gill Sans MT" w:hAnsi="Gill Sans MT"/>
              </w:rPr>
              <w:t>Undergraduate Certificate</w:t>
            </w:r>
          </w:p>
        </w:tc>
        <w:tc>
          <w:tcPr>
            <w:tcW w:w="4678" w:type="dxa"/>
            <w:shd w:val="clear" w:color="auto" w:fill="DEEAF6" w:themeFill="accent1" w:themeFillTint="33"/>
          </w:tcPr>
          <w:p w14:paraId="063C1CA2" w14:textId="77777777" w:rsidR="004A315F" w:rsidRPr="004A315F" w:rsidRDefault="004A315F" w:rsidP="00984861">
            <w:pPr>
              <w:spacing w:before="80" w:after="0" w:line="240" w:lineRule="auto"/>
              <w:rPr>
                <w:rFonts w:ascii="Gill Sans MT" w:hAnsi="Gill Sans MT"/>
              </w:rPr>
            </w:pPr>
            <w:r w:rsidRPr="004A315F">
              <w:rPr>
                <w:rFonts w:ascii="Gill Sans MT" w:hAnsi="Gill Sans MT"/>
              </w:rPr>
              <w:t xml:space="preserve">Undergraduate Certificate (Field of </w:t>
            </w:r>
          </w:p>
          <w:p w14:paraId="60FC7DE8" w14:textId="6FE88D05" w:rsidR="004A315F" w:rsidRPr="00A07F12" w:rsidRDefault="004A315F" w:rsidP="00984861">
            <w:pPr>
              <w:spacing w:before="80" w:after="0" w:line="240" w:lineRule="auto"/>
              <w:rPr>
                <w:rFonts w:ascii="Gill Sans MT" w:hAnsi="Gill Sans MT"/>
              </w:rPr>
            </w:pPr>
            <w:r w:rsidRPr="004A315F">
              <w:rPr>
                <w:rFonts w:ascii="Gill Sans MT" w:hAnsi="Gill Sans MT"/>
              </w:rPr>
              <w:t>study/</w:t>
            </w:r>
            <w:proofErr w:type="gramStart"/>
            <w:r w:rsidRPr="004A315F">
              <w:rPr>
                <w:rFonts w:ascii="Gill Sans MT" w:hAnsi="Gill Sans MT"/>
              </w:rPr>
              <w:t>discipline)</w:t>
            </w:r>
            <w:r w:rsidR="0058717A">
              <w:rPr>
                <w:rFonts w:ascii="Gill Sans MT" w:hAnsi="Gill Sans MT"/>
              </w:rPr>
              <w:t>*</w:t>
            </w:r>
            <w:proofErr w:type="gramEnd"/>
          </w:p>
        </w:tc>
      </w:tr>
      <w:tr w:rsidR="00A07F12" w:rsidRPr="00A07F12" w14:paraId="09498FE8" w14:textId="77777777" w:rsidTr="00625C42">
        <w:trPr>
          <w:trHeight w:val="255"/>
        </w:trPr>
        <w:tc>
          <w:tcPr>
            <w:tcW w:w="1560" w:type="dxa"/>
            <w:shd w:val="clear" w:color="auto" w:fill="DEEAF6" w:themeFill="accent1" w:themeFillTint="33"/>
          </w:tcPr>
          <w:p w14:paraId="3AA8023C" w14:textId="64FBE82C"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8</w:t>
            </w:r>
          </w:p>
        </w:tc>
        <w:tc>
          <w:tcPr>
            <w:tcW w:w="3260" w:type="dxa"/>
            <w:shd w:val="clear" w:color="auto" w:fill="DEEAF6" w:themeFill="accent1" w:themeFillTint="33"/>
          </w:tcPr>
          <w:p w14:paraId="5A6A953C"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Bachelor Honours Degree </w:t>
            </w:r>
          </w:p>
        </w:tc>
        <w:tc>
          <w:tcPr>
            <w:tcW w:w="4678" w:type="dxa"/>
            <w:shd w:val="clear" w:color="auto" w:fill="DEEAF6" w:themeFill="accent1" w:themeFillTint="33"/>
          </w:tcPr>
          <w:p w14:paraId="45EBFCAF"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Bachelor (Field of study/discipline) (Honours) </w:t>
            </w:r>
          </w:p>
        </w:tc>
      </w:tr>
      <w:tr w:rsidR="00A07F12" w:rsidRPr="00A07F12" w14:paraId="0AC4F4DC" w14:textId="77777777" w:rsidTr="00625C42">
        <w:trPr>
          <w:trHeight w:val="257"/>
        </w:trPr>
        <w:tc>
          <w:tcPr>
            <w:tcW w:w="1560" w:type="dxa"/>
            <w:shd w:val="clear" w:color="auto" w:fill="DEEAF6" w:themeFill="accent1" w:themeFillTint="33"/>
          </w:tcPr>
          <w:p w14:paraId="662271F3" w14:textId="2F06BDCC"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8</w:t>
            </w:r>
          </w:p>
        </w:tc>
        <w:tc>
          <w:tcPr>
            <w:tcW w:w="3260" w:type="dxa"/>
            <w:shd w:val="clear" w:color="auto" w:fill="DEEAF6" w:themeFill="accent1" w:themeFillTint="33"/>
          </w:tcPr>
          <w:p w14:paraId="527A59BB"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Graduate Certificate </w:t>
            </w:r>
          </w:p>
        </w:tc>
        <w:tc>
          <w:tcPr>
            <w:tcW w:w="4678" w:type="dxa"/>
            <w:shd w:val="clear" w:color="auto" w:fill="DEEAF6" w:themeFill="accent1" w:themeFillTint="33"/>
          </w:tcPr>
          <w:p w14:paraId="3AD14EB3"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Graduate Certificate (Field of study/discipline) </w:t>
            </w:r>
          </w:p>
        </w:tc>
      </w:tr>
      <w:tr w:rsidR="00A07F12" w:rsidRPr="00A07F12" w14:paraId="7295A5EF" w14:textId="77777777" w:rsidTr="00625C42">
        <w:trPr>
          <w:trHeight w:val="257"/>
        </w:trPr>
        <w:tc>
          <w:tcPr>
            <w:tcW w:w="1560" w:type="dxa"/>
            <w:shd w:val="clear" w:color="auto" w:fill="DEEAF6" w:themeFill="accent1" w:themeFillTint="33"/>
          </w:tcPr>
          <w:p w14:paraId="40F24881" w14:textId="30ABFE79"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8</w:t>
            </w:r>
          </w:p>
        </w:tc>
        <w:tc>
          <w:tcPr>
            <w:tcW w:w="3260" w:type="dxa"/>
            <w:shd w:val="clear" w:color="auto" w:fill="DEEAF6" w:themeFill="accent1" w:themeFillTint="33"/>
          </w:tcPr>
          <w:p w14:paraId="29D459A0"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Graduate Diploma </w:t>
            </w:r>
          </w:p>
        </w:tc>
        <w:tc>
          <w:tcPr>
            <w:tcW w:w="4678" w:type="dxa"/>
            <w:shd w:val="clear" w:color="auto" w:fill="DEEAF6" w:themeFill="accent1" w:themeFillTint="33"/>
          </w:tcPr>
          <w:p w14:paraId="527F2405"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Graduate Diploma (Field of study/discipline) </w:t>
            </w:r>
          </w:p>
        </w:tc>
      </w:tr>
      <w:tr w:rsidR="00A07F12" w:rsidRPr="00A07F12" w14:paraId="71F84F9B" w14:textId="77777777" w:rsidTr="00625C42">
        <w:trPr>
          <w:trHeight w:val="100"/>
        </w:trPr>
        <w:tc>
          <w:tcPr>
            <w:tcW w:w="1560" w:type="dxa"/>
            <w:shd w:val="clear" w:color="auto" w:fill="DEEAF6" w:themeFill="accent1" w:themeFillTint="33"/>
          </w:tcPr>
          <w:p w14:paraId="720BC505" w14:textId="514E26BF"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9</w:t>
            </w:r>
          </w:p>
        </w:tc>
        <w:tc>
          <w:tcPr>
            <w:tcW w:w="3260" w:type="dxa"/>
            <w:shd w:val="clear" w:color="auto" w:fill="DEEAF6" w:themeFill="accent1" w:themeFillTint="33"/>
          </w:tcPr>
          <w:p w14:paraId="4892531E"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Masters Degree (Research) </w:t>
            </w:r>
          </w:p>
        </w:tc>
        <w:tc>
          <w:tcPr>
            <w:tcW w:w="4678" w:type="dxa"/>
            <w:shd w:val="clear" w:color="auto" w:fill="DEEAF6" w:themeFill="accent1" w:themeFillTint="33"/>
          </w:tcPr>
          <w:p w14:paraId="308B7AF1"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Master (Field of study/discipline) </w:t>
            </w:r>
          </w:p>
        </w:tc>
      </w:tr>
      <w:tr w:rsidR="00A07F12" w:rsidRPr="00A07F12" w14:paraId="647BB2DB" w14:textId="77777777" w:rsidTr="00625C42">
        <w:trPr>
          <w:trHeight w:val="100"/>
        </w:trPr>
        <w:tc>
          <w:tcPr>
            <w:tcW w:w="1560" w:type="dxa"/>
            <w:shd w:val="clear" w:color="auto" w:fill="DEEAF6" w:themeFill="accent1" w:themeFillTint="33"/>
          </w:tcPr>
          <w:p w14:paraId="5E12E844" w14:textId="3E314F78"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9</w:t>
            </w:r>
          </w:p>
        </w:tc>
        <w:tc>
          <w:tcPr>
            <w:tcW w:w="3260" w:type="dxa"/>
            <w:shd w:val="clear" w:color="auto" w:fill="DEEAF6" w:themeFill="accent1" w:themeFillTint="33"/>
          </w:tcPr>
          <w:p w14:paraId="16655564"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Masters Degree (Coursework) </w:t>
            </w:r>
          </w:p>
        </w:tc>
        <w:tc>
          <w:tcPr>
            <w:tcW w:w="4678" w:type="dxa"/>
            <w:shd w:val="clear" w:color="auto" w:fill="DEEAF6" w:themeFill="accent1" w:themeFillTint="33"/>
          </w:tcPr>
          <w:p w14:paraId="4889AB41"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Master (Field of study/discipline) </w:t>
            </w:r>
          </w:p>
        </w:tc>
      </w:tr>
      <w:tr w:rsidR="00A07F12" w:rsidRPr="00A07F12" w14:paraId="0FD2ECC8" w14:textId="77777777" w:rsidTr="00625C42">
        <w:trPr>
          <w:trHeight w:val="20"/>
        </w:trPr>
        <w:tc>
          <w:tcPr>
            <w:tcW w:w="1560" w:type="dxa"/>
            <w:shd w:val="clear" w:color="auto" w:fill="DEEAF6" w:themeFill="accent1" w:themeFillTint="33"/>
          </w:tcPr>
          <w:p w14:paraId="78895804" w14:textId="04C27F85" w:rsidR="00ED0ACF" w:rsidRPr="00A07F12" w:rsidRDefault="00ED0ACF" w:rsidP="00984861">
            <w:pPr>
              <w:spacing w:before="80" w:after="0" w:line="240" w:lineRule="auto"/>
              <w:jc w:val="center"/>
              <w:rPr>
                <w:rFonts w:ascii="Gill Sans MT" w:hAnsi="Gill Sans MT"/>
              </w:rPr>
            </w:pPr>
            <w:r w:rsidRPr="00A07F12">
              <w:rPr>
                <w:rFonts w:ascii="Gill Sans MT" w:hAnsi="Gill Sans MT"/>
              </w:rPr>
              <w:t>9</w:t>
            </w:r>
          </w:p>
        </w:tc>
        <w:tc>
          <w:tcPr>
            <w:tcW w:w="3260" w:type="dxa"/>
            <w:shd w:val="clear" w:color="auto" w:fill="DEEAF6" w:themeFill="accent1" w:themeFillTint="33"/>
          </w:tcPr>
          <w:p w14:paraId="48029733" w14:textId="77777777" w:rsidR="00ED0ACF" w:rsidRPr="00A07F12" w:rsidRDefault="00ED0ACF" w:rsidP="00984861">
            <w:pPr>
              <w:spacing w:before="80" w:after="0" w:line="240" w:lineRule="auto"/>
              <w:rPr>
                <w:rFonts w:ascii="Gill Sans MT" w:hAnsi="Gill Sans MT"/>
              </w:rPr>
            </w:pPr>
            <w:r w:rsidRPr="00A07F12">
              <w:rPr>
                <w:rFonts w:ascii="Gill Sans MT" w:hAnsi="Gill Sans MT"/>
              </w:rPr>
              <w:t xml:space="preserve">Masters Degree (Extended) </w:t>
            </w:r>
          </w:p>
        </w:tc>
        <w:tc>
          <w:tcPr>
            <w:tcW w:w="4678" w:type="dxa"/>
            <w:shd w:val="clear" w:color="auto" w:fill="DEEAF6" w:themeFill="accent1" w:themeFillTint="33"/>
          </w:tcPr>
          <w:p w14:paraId="266F6236" w14:textId="77777777" w:rsidR="00ED0ACF" w:rsidRPr="00A07F12" w:rsidRDefault="00ED0ACF" w:rsidP="00984861">
            <w:pPr>
              <w:spacing w:before="80" w:after="0" w:line="240" w:lineRule="auto"/>
              <w:rPr>
                <w:rFonts w:ascii="Gill Sans MT" w:hAnsi="Gill Sans MT"/>
              </w:rPr>
            </w:pPr>
            <w:r w:rsidRPr="00A07F12">
              <w:rPr>
                <w:rFonts w:ascii="Gill Sans MT" w:hAnsi="Gill Sans MT"/>
              </w:rPr>
              <w:t xml:space="preserve">Master (Field of study/discipline) </w:t>
            </w:r>
          </w:p>
          <w:p w14:paraId="1A176D90" w14:textId="39BDAE7F" w:rsidR="00ED0ACF" w:rsidRPr="00A07F12" w:rsidRDefault="00ED0ACF" w:rsidP="00984861">
            <w:pPr>
              <w:spacing w:before="80" w:after="0" w:line="240" w:lineRule="auto"/>
              <w:rPr>
                <w:rFonts w:ascii="Gill Sans MT" w:hAnsi="Gill Sans MT"/>
              </w:rPr>
            </w:pPr>
            <w:r w:rsidRPr="00A07F12">
              <w:rPr>
                <w:rFonts w:ascii="Gill Sans MT" w:hAnsi="Gill Sans MT"/>
              </w:rPr>
              <w:t>For exceptions that may be used, see below*</w:t>
            </w:r>
            <w:r w:rsidR="0058717A">
              <w:rPr>
                <w:rFonts w:ascii="Gill Sans MT" w:hAnsi="Gill Sans MT"/>
              </w:rPr>
              <w:t>*</w:t>
            </w:r>
            <w:r w:rsidRPr="00A07F12">
              <w:rPr>
                <w:rFonts w:ascii="Gill Sans MT" w:hAnsi="Gill Sans MT"/>
              </w:rPr>
              <w:t xml:space="preserve"> </w:t>
            </w:r>
          </w:p>
        </w:tc>
      </w:tr>
      <w:tr w:rsidR="00A07F12" w:rsidRPr="00A07F12" w14:paraId="76B5B4A6" w14:textId="77777777" w:rsidTr="00625C42">
        <w:trPr>
          <w:trHeight w:val="100"/>
        </w:trPr>
        <w:tc>
          <w:tcPr>
            <w:tcW w:w="1560" w:type="dxa"/>
            <w:shd w:val="clear" w:color="auto" w:fill="DEEAF6" w:themeFill="accent1" w:themeFillTint="33"/>
          </w:tcPr>
          <w:p w14:paraId="29D2625D" w14:textId="34A2CB63" w:rsidR="00ED0ACF" w:rsidRPr="00A07F12" w:rsidRDefault="00ED0ACF" w:rsidP="00984861">
            <w:pPr>
              <w:spacing w:before="80" w:after="0" w:line="240" w:lineRule="auto"/>
              <w:jc w:val="center"/>
              <w:rPr>
                <w:rFonts w:ascii="Gill Sans MT" w:hAnsi="Gill Sans MT"/>
              </w:rPr>
            </w:pPr>
            <w:r w:rsidRPr="00A07F12">
              <w:rPr>
                <w:rFonts w:ascii="Gill Sans MT" w:hAnsi="Gill Sans MT"/>
              </w:rPr>
              <w:t>10</w:t>
            </w:r>
          </w:p>
        </w:tc>
        <w:tc>
          <w:tcPr>
            <w:tcW w:w="3260" w:type="dxa"/>
            <w:shd w:val="clear" w:color="auto" w:fill="DEEAF6" w:themeFill="accent1" w:themeFillTint="33"/>
          </w:tcPr>
          <w:p w14:paraId="07145BFC" w14:textId="77777777" w:rsidR="00ED0ACF" w:rsidRPr="00A07F12" w:rsidRDefault="00ED0ACF" w:rsidP="00984861">
            <w:pPr>
              <w:spacing w:before="80" w:after="0" w:line="240" w:lineRule="auto"/>
              <w:rPr>
                <w:rFonts w:ascii="Gill Sans MT" w:hAnsi="Gill Sans MT"/>
              </w:rPr>
            </w:pPr>
            <w:r w:rsidRPr="00A07F12">
              <w:rPr>
                <w:rFonts w:ascii="Gill Sans MT" w:hAnsi="Gill Sans MT"/>
              </w:rPr>
              <w:t xml:space="preserve">Doctoral Degree </w:t>
            </w:r>
          </w:p>
        </w:tc>
        <w:tc>
          <w:tcPr>
            <w:tcW w:w="4678" w:type="dxa"/>
            <w:shd w:val="clear" w:color="auto" w:fill="DEEAF6" w:themeFill="accent1" w:themeFillTint="33"/>
          </w:tcPr>
          <w:p w14:paraId="33198FFD" w14:textId="77777777" w:rsidR="00ED0ACF" w:rsidRPr="00A07F12" w:rsidRDefault="00ED0ACF" w:rsidP="00984861">
            <w:pPr>
              <w:spacing w:before="80" w:after="0" w:line="240" w:lineRule="auto"/>
              <w:rPr>
                <w:rFonts w:ascii="Gill Sans MT" w:hAnsi="Gill Sans MT"/>
              </w:rPr>
            </w:pPr>
            <w:r w:rsidRPr="00A07F12">
              <w:rPr>
                <w:rFonts w:ascii="Gill Sans MT" w:hAnsi="Gill Sans MT"/>
              </w:rPr>
              <w:t xml:space="preserve">Doctor (Field of study/discipline) </w:t>
            </w:r>
          </w:p>
        </w:tc>
      </w:tr>
      <w:tr w:rsidR="00A07F12" w:rsidRPr="00A07F12" w14:paraId="022B06E7" w14:textId="77777777" w:rsidTr="00625C42">
        <w:trPr>
          <w:trHeight w:val="100"/>
        </w:trPr>
        <w:tc>
          <w:tcPr>
            <w:tcW w:w="1560" w:type="dxa"/>
            <w:shd w:val="clear" w:color="auto" w:fill="DEEAF6" w:themeFill="accent1" w:themeFillTint="33"/>
          </w:tcPr>
          <w:p w14:paraId="33E0390B" w14:textId="64616609" w:rsidR="00ED0ACF" w:rsidRPr="00A07F12" w:rsidRDefault="00ED0ACF" w:rsidP="009F2C96">
            <w:pPr>
              <w:spacing w:before="120" w:after="0" w:line="240" w:lineRule="auto"/>
              <w:jc w:val="center"/>
              <w:rPr>
                <w:rFonts w:ascii="Gill Sans MT" w:hAnsi="Gill Sans MT"/>
              </w:rPr>
            </w:pPr>
            <w:r w:rsidRPr="00A07F12">
              <w:rPr>
                <w:rFonts w:ascii="Gill Sans MT" w:hAnsi="Gill Sans MT"/>
              </w:rPr>
              <w:t>10</w:t>
            </w:r>
          </w:p>
        </w:tc>
        <w:tc>
          <w:tcPr>
            <w:tcW w:w="3260" w:type="dxa"/>
            <w:shd w:val="clear" w:color="auto" w:fill="DEEAF6" w:themeFill="accent1" w:themeFillTint="33"/>
          </w:tcPr>
          <w:p w14:paraId="3BF934D6"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Higher Doctoral Degree </w:t>
            </w:r>
          </w:p>
        </w:tc>
        <w:tc>
          <w:tcPr>
            <w:tcW w:w="4678" w:type="dxa"/>
            <w:shd w:val="clear" w:color="auto" w:fill="DEEAF6" w:themeFill="accent1" w:themeFillTint="33"/>
          </w:tcPr>
          <w:p w14:paraId="626CC76A" w14:textId="77777777" w:rsidR="00ED0ACF" w:rsidRPr="00A07F12" w:rsidRDefault="00ED0ACF" w:rsidP="009F2C96">
            <w:pPr>
              <w:spacing w:before="120" w:after="0" w:line="240" w:lineRule="auto"/>
              <w:rPr>
                <w:rFonts w:ascii="Gill Sans MT" w:hAnsi="Gill Sans MT"/>
              </w:rPr>
            </w:pPr>
            <w:r w:rsidRPr="00A07F12">
              <w:rPr>
                <w:rFonts w:ascii="Gill Sans MT" w:hAnsi="Gill Sans MT"/>
              </w:rPr>
              <w:t xml:space="preserve">Doctor (Field of study/discipline) </w:t>
            </w:r>
          </w:p>
        </w:tc>
      </w:tr>
    </w:tbl>
    <w:p w14:paraId="151A10BE" w14:textId="1F60F135" w:rsidR="0058717A" w:rsidRDefault="0058717A">
      <w:pPr>
        <w:rPr>
          <w:rFonts w:ascii="Gill Sans MT" w:hAnsi="Gill Sans MT"/>
          <w:b/>
          <w:bCs/>
        </w:rPr>
      </w:pPr>
      <w:r>
        <w:rPr>
          <w:rFonts w:ascii="Gill Sans MT" w:hAnsi="Gill Sans MT"/>
          <w:b/>
          <w:bCs/>
        </w:rPr>
        <w:lastRenderedPageBreak/>
        <w:t>*Undergraduate Certificate</w:t>
      </w:r>
    </w:p>
    <w:p w14:paraId="63CE25E3" w14:textId="70A7BCBD" w:rsidR="0058717A" w:rsidRPr="00B13EE2" w:rsidRDefault="0058717A" w:rsidP="0058717A">
      <w:pPr>
        <w:rPr>
          <w:rFonts w:ascii="Gill Sans MT" w:hAnsi="Gill Sans MT"/>
        </w:rPr>
      </w:pPr>
      <w:r>
        <w:rPr>
          <w:rFonts w:ascii="Gill Sans MT" w:hAnsi="Gill Sans MT"/>
        </w:rPr>
        <w:t>The U</w:t>
      </w:r>
      <w:r w:rsidRPr="0058717A">
        <w:rPr>
          <w:rFonts w:ascii="Gill Sans MT" w:hAnsi="Gill Sans MT"/>
        </w:rPr>
        <w:t>ndergraduate Certificate is not allocated to a single AQF level but recognises completion</w:t>
      </w:r>
      <w:r>
        <w:rPr>
          <w:rFonts w:ascii="Gill Sans MT" w:hAnsi="Gill Sans MT"/>
        </w:rPr>
        <w:t xml:space="preserve"> </w:t>
      </w:r>
      <w:r w:rsidRPr="0058717A">
        <w:rPr>
          <w:rFonts w:ascii="Gill Sans MT" w:hAnsi="Gill Sans MT"/>
        </w:rPr>
        <w:t>of a short course equivalent to 0.5 Effective Full Time Study Load (EFTSL) toward an existing qualification at AQF levels 5-7.</w:t>
      </w:r>
    </w:p>
    <w:p w14:paraId="1C23D473" w14:textId="13E82EC9" w:rsidR="002E0784" w:rsidRPr="00417856" w:rsidRDefault="002E0784">
      <w:pPr>
        <w:rPr>
          <w:rFonts w:ascii="Gill Sans MT" w:hAnsi="Gill Sans MT"/>
        </w:rPr>
      </w:pPr>
      <w:r w:rsidRPr="00DA6EA3">
        <w:rPr>
          <w:rFonts w:ascii="Gill Sans MT" w:hAnsi="Gill Sans MT"/>
          <w:noProof/>
          <w:sz w:val="40"/>
          <w:szCs w:val="28"/>
          <w:highlight w:val="yellow"/>
          <w:lang w:eastAsia="en-AU"/>
        </w:rPr>
        <w:drawing>
          <wp:anchor distT="0" distB="0" distL="114300" distR="114300" simplePos="0" relativeHeight="251667456" behindDoc="1" locked="0" layoutInCell="1" allowOverlap="1" wp14:anchorId="3B856B90" wp14:editId="5C9E51D0">
            <wp:simplePos x="0" y="0"/>
            <wp:positionH relativeFrom="page">
              <wp:align>left</wp:align>
            </wp:positionH>
            <wp:positionV relativeFrom="paragraph">
              <wp:posOffset>-962025</wp:posOffset>
            </wp:positionV>
            <wp:extent cx="177800" cy="10716466"/>
            <wp:effectExtent l="0" t="0" r="0" b="8890"/>
            <wp:wrapNone/>
            <wp:docPr id="1180299103" name="Picture 118029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1">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r w:rsidRPr="00417856">
        <w:rPr>
          <w:rFonts w:ascii="Gill Sans MT" w:hAnsi="Gill Sans MT"/>
          <w:b/>
          <w:bCs/>
        </w:rPr>
        <w:t>*</w:t>
      </w:r>
      <w:r w:rsidR="0058717A">
        <w:rPr>
          <w:rFonts w:ascii="Gill Sans MT" w:hAnsi="Gill Sans MT"/>
          <w:b/>
          <w:bCs/>
        </w:rPr>
        <w:t>*</w:t>
      </w:r>
      <w:r w:rsidRPr="00417856">
        <w:rPr>
          <w:rFonts w:ascii="Gill Sans MT" w:hAnsi="Gill Sans MT"/>
          <w:b/>
          <w:bCs/>
        </w:rPr>
        <w:t>Exceptions</w:t>
      </w:r>
      <w:r w:rsidRPr="00417856">
        <w:rPr>
          <w:rFonts w:ascii="Gill Sans MT" w:hAnsi="Gill Sans MT"/>
          <w:vertAlign w:val="superscript"/>
        </w:rPr>
        <w:t>6</w:t>
      </w:r>
      <w:r w:rsidRPr="00417856">
        <w:rPr>
          <w:rFonts w:ascii="Gill Sans MT" w:hAnsi="Gill Sans MT"/>
        </w:rPr>
        <w:t xml:space="preserve">: </w:t>
      </w:r>
    </w:p>
    <w:p w14:paraId="540FA297" w14:textId="00DEC685" w:rsidR="002E0784" w:rsidRPr="00417856" w:rsidRDefault="002E0784" w:rsidP="00417856">
      <w:pPr>
        <w:pStyle w:val="ListParagraph"/>
        <w:numPr>
          <w:ilvl w:val="0"/>
          <w:numId w:val="5"/>
        </w:numPr>
        <w:rPr>
          <w:rFonts w:ascii="Gill Sans MT" w:hAnsi="Gill Sans MT"/>
        </w:rPr>
      </w:pPr>
      <w:r w:rsidRPr="00417856">
        <w:rPr>
          <w:rFonts w:ascii="Gill Sans MT" w:hAnsi="Gill Sans MT"/>
        </w:rPr>
        <w:t xml:space="preserve">The use of the qualification title ‘Juris Doctor’ is permitted for a Masters Degree (Extended) for legal practice. </w:t>
      </w:r>
    </w:p>
    <w:p w14:paraId="7A0B69DD" w14:textId="58ECFC3E" w:rsidR="002E0784" w:rsidRPr="00417856" w:rsidRDefault="002E0784" w:rsidP="00417856">
      <w:pPr>
        <w:pStyle w:val="ListParagraph"/>
        <w:numPr>
          <w:ilvl w:val="0"/>
          <w:numId w:val="5"/>
        </w:numPr>
        <w:rPr>
          <w:rFonts w:ascii="Gill Sans MT" w:hAnsi="Gill Sans MT"/>
        </w:rPr>
      </w:pPr>
      <w:r w:rsidRPr="00417856">
        <w:rPr>
          <w:rFonts w:ascii="Gill Sans MT" w:hAnsi="Gill Sans MT"/>
        </w:rPr>
        <w:t xml:space="preserve">The use of the qualification title ‘Doctor of …’ is permitted for a Masters Degree (Extended) for six professions: medical practice; physiotherapy; dentistry; optometry; veterinary practice; and pharmacy. </w:t>
      </w:r>
    </w:p>
    <w:p w14:paraId="1F44F054" w14:textId="50856439" w:rsidR="002E0784" w:rsidRPr="00417856" w:rsidRDefault="002E0784" w:rsidP="00417856">
      <w:pPr>
        <w:pStyle w:val="ListParagraph"/>
        <w:numPr>
          <w:ilvl w:val="0"/>
          <w:numId w:val="5"/>
        </w:numPr>
        <w:rPr>
          <w:rFonts w:ascii="Gill Sans MT" w:hAnsi="Gill Sans MT"/>
        </w:rPr>
      </w:pPr>
      <w:r w:rsidRPr="00417856">
        <w:rPr>
          <w:rFonts w:ascii="Gill Sans MT" w:hAnsi="Gill Sans MT"/>
        </w:rPr>
        <w:t xml:space="preserve">The use of the qualification title ‘Doctor of …’ is permitted for a Masters Degree (Extended) for qualifications: Doctor of Podiatric Medicine, Doctor of Clinical Podiatry. </w:t>
      </w:r>
    </w:p>
    <w:p w14:paraId="5CCBB079" w14:textId="15E894A7" w:rsidR="002E0784" w:rsidRPr="00417856" w:rsidRDefault="002E0784" w:rsidP="00417856">
      <w:pPr>
        <w:pStyle w:val="ListParagraph"/>
        <w:numPr>
          <w:ilvl w:val="0"/>
          <w:numId w:val="5"/>
        </w:numPr>
        <w:spacing w:after="0"/>
        <w:rPr>
          <w:rFonts w:ascii="Gill Sans MT" w:hAnsi="Gill Sans MT"/>
        </w:rPr>
      </w:pPr>
      <w:r w:rsidRPr="00417856">
        <w:rPr>
          <w:rFonts w:ascii="Gill Sans MT" w:hAnsi="Gill Sans MT"/>
        </w:rPr>
        <w:t xml:space="preserve">Further exceptions may be permitted in accordance with the AQF Qualification Type Addition and Removal Policy. </w:t>
      </w:r>
    </w:p>
    <w:p w14:paraId="4FC6EF35" w14:textId="2FA3E847" w:rsidR="002E0784" w:rsidRPr="002E0784" w:rsidRDefault="002E0784" w:rsidP="00417856">
      <w:pPr>
        <w:spacing w:before="240"/>
        <w:rPr>
          <w:rFonts w:ascii="Gill Sans MT" w:hAnsi="Gill Sans MT"/>
          <w:b/>
          <w:bCs/>
          <w:sz w:val="24"/>
        </w:rPr>
      </w:pPr>
      <w:r>
        <w:rPr>
          <w:rFonts w:ascii="Gill Sans MT" w:hAnsi="Gill Sans MT"/>
          <w:vertAlign w:val="superscript"/>
        </w:rPr>
        <w:t xml:space="preserve">6 </w:t>
      </w:r>
      <w:r w:rsidRPr="00417856">
        <w:rPr>
          <w:rFonts w:ascii="Gill Sans MT" w:hAnsi="Gill Sans MT"/>
          <w:sz w:val="16"/>
          <w:szCs w:val="16"/>
        </w:rPr>
        <w:t>Ministerial Council for Tertiary Education and Employment (MCTEE), 19 November 2010; Ministerial approval December 2014; Education Ministers 15 November 2024</w:t>
      </w:r>
    </w:p>
    <w:p w14:paraId="5BD8B96D" w14:textId="77777777" w:rsidR="00417856" w:rsidRDefault="00417856">
      <w:pPr>
        <w:rPr>
          <w:rFonts w:ascii="Gill Sans MT" w:hAnsi="Gill Sans MT"/>
          <w:b/>
          <w:bCs/>
          <w:sz w:val="24"/>
        </w:rPr>
      </w:pPr>
    </w:p>
    <w:p w14:paraId="614E1209" w14:textId="75410E91" w:rsidR="00ED0ACF" w:rsidRDefault="00ED0ACF">
      <w:pPr>
        <w:rPr>
          <w:rFonts w:ascii="Gill Sans MT" w:hAnsi="Gill Sans MT"/>
          <w:sz w:val="24"/>
        </w:rPr>
      </w:pPr>
      <w:r w:rsidRPr="00ED0ACF">
        <w:rPr>
          <w:rFonts w:ascii="Gill Sans MT" w:hAnsi="Gill Sans MT"/>
          <w:b/>
          <w:bCs/>
          <w:sz w:val="24"/>
        </w:rPr>
        <w:t>AQF Glossary</w:t>
      </w:r>
      <w:r>
        <w:rPr>
          <w:rFonts w:ascii="Gill Sans MT" w:hAnsi="Gill Sans MT"/>
          <w:sz w:val="24"/>
        </w:rPr>
        <w:t xml:space="preserve"> </w:t>
      </w:r>
    </w:p>
    <w:p w14:paraId="6BBBA1B4" w14:textId="48FFD65A" w:rsidR="00FA3B10" w:rsidRPr="00B30BDB" w:rsidRDefault="00FA3B10">
      <w:pPr>
        <w:rPr>
          <w:rFonts w:ascii="Gill Sans MT" w:hAnsi="Gill Sans MT"/>
        </w:rPr>
      </w:pPr>
      <w:r w:rsidRPr="00B30BDB">
        <w:rPr>
          <w:rFonts w:ascii="Gill Sans MT" w:hAnsi="Gill Sans MT"/>
        </w:rPr>
        <w:t xml:space="preserve">The following </w:t>
      </w:r>
      <w:r w:rsidR="0020375D" w:rsidRPr="00B30BDB">
        <w:rPr>
          <w:rFonts w:ascii="Gill Sans MT" w:hAnsi="Gill Sans MT"/>
        </w:rPr>
        <w:t xml:space="preserve">two </w:t>
      </w:r>
      <w:r w:rsidRPr="00B30BDB">
        <w:rPr>
          <w:rFonts w:ascii="Gill Sans MT" w:hAnsi="Gill Sans MT"/>
        </w:rPr>
        <w:t xml:space="preserve">definitions have been added to the </w:t>
      </w:r>
      <w:r w:rsidRPr="00B30BDB">
        <w:rPr>
          <w:rFonts w:ascii="Gill Sans MT" w:hAnsi="Gill Sans MT"/>
          <w:i/>
          <w:iCs/>
        </w:rPr>
        <w:t>AQF Glossary</w:t>
      </w:r>
      <w:r w:rsidRPr="00B30BDB">
        <w:rPr>
          <w:rFonts w:ascii="Gill Sans MT" w:hAnsi="Gill Sans MT"/>
        </w:rPr>
        <w:t>. Both definitions have been sourced and/or adapted from the National Centre for Vocational Education Research (NCVER) Glossary of VET</w:t>
      </w:r>
      <w:r w:rsidRPr="00B30BDB">
        <w:rPr>
          <w:rStyle w:val="FootnoteReference"/>
          <w:rFonts w:ascii="Gill Sans MT" w:hAnsi="Gill Sans MT"/>
        </w:rPr>
        <w:footnoteReference w:id="1"/>
      </w:r>
      <w:r w:rsidRPr="00B30BDB">
        <w:rPr>
          <w:rFonts w:ascii="Gill Sans MT" w:hAnsi="Gill Sans MT"/>
        </w:rPr>
        <w:t xml:space="preserve">. </w:t>
      </w:r>
    </w:p>
    <w:p w14:paraId="146718D9" w14:textId="301DADA6" w:rsidR="00FA3B10" w:rsidRPr="00B30BDB" w:rsidRDefault="00FA3B10">
      <w:pPr>
        <w:rPr>
          <w:rFonts w:ascii="Gill Sans MT" w:hAnsi="Gill Sans MT"/>
        </w:rPr>
      </w:pPr>
      <w:r w:rsidRPr="00B30BDB">
        <w:rPr>
          <w:rFonts w:ascii="Gill Sans MT" w:hAnsi="Gill Sans MT"/>
          <w:i/>
          <w:iCs/>
        </w:rPr>
        <w:t>Contract of training</w:t>
      </w:r>
      <w:r w:rsidRPr="00B30BDB">
        <w:rPr>
          <w:rFonts w:ascii="Gill Sans MT" w:hAnsi="Gill Sans MT"/>
        </w:rPr>
        <w:t xml:space="preserve"> is to be added to page 93 </w:t>
      </w:r>
      <w:r w:rsidR="0020375D" w:rsidRPr="00B30BDB">
        <w:rPr>
          <w:rFonts w:ascii="Gill Sans MT" w:hAnsi="Gill Sans MT"/>
        </w:rPr>
        <w:t xml:space="preserve">of the </w:t>
      </w:r>
      <w:r w:rsidR="0020375D" w:rsidRPr="00B30BDB">
        <w:rPr>
          <w:rFonts w:ascii="Gill Sans MT" w:hAnsi="Gill Sans MT"/>
          <w:i/>
          <w:iCs/>
        </w:rPr>
        <w:t>AQF Glossary</w:t>
      </w:r>
      <w:r w:rsidR="0020375D" w:rsidRPr="00B30BDB">
        <w:rPr>
          <w:rFonts w:ascii="Gill Sans MT" w:hAnsi="Gill Sans MT"/>
        </w:rPr>
        <w:t xml:space="preserve">. </w:t>
      </w:r>
    </w:p>
    <w:tbl>
      <w:tblPr>
        <w:tblW w:w="9501" w:type="dxa"/>
        <w:tblInd w:w="-8"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ayout w:type="fixed"/>
        <w:tblLook w:val="0000" w:firstRow="0" w:lastRow="0" w:firstColumn="0" w:lastColumn="0" w:noHBand="0" w:noVBand="0"/>
      </w:tblPr>
      <w:tblGrid>
        <w:gridCol w:w="1846"/>
        <w:gridCol w:w="7655"/>
      </w:tblGrid>
      <w:tr w:rsidR="00FA3B10" w:rsidRPr="00C966A1" w14:paraId="02A9D8FF" w14:textId="77777777" w:rsidTr="00FC4AF3">
        <w:trPr>
          <w:trHeight w:val="100"/>
        </w:trPr>
        <w:tc>
          <w:tcPr>
            <w:tcW w:w="1846" w:type="dxa"/>
            <w:shd w:val="clear" w:color="auto" w:fill="FFF2CC" w:themeFill="accent4" w:themeFillTint="33"/>
          </w:tcPr>
          <w:p w14:paraId="0787899C" w14:textId="4560F243" w:rsidR="00FA3B10" w:rsidRPr="00FA3B10" w:rsidRDefault="00FA3B10" w:rsidP="00FC4AF3">
            <w:pPr>
              <w:spacing w:before="120" w:after="0" w:line="240" w:lineRule="auto"/>
              <w:rPr>
                <w:rFonts w:ascii="Gill Sans MT" w:hAnsi="Gill Sans MT"/>
                <w:b/>
                <w:bCs/>
              </w:rPr>
            </w:pPr>
            <w:r w:rsidRPr="00FA3B10">
              <w:rPr>
                <w:rFonts w:ascii="Gill Sans MT" w:hAnsi="Gill Sans MT"/>
                <w:b/>
                <w:bCs/>
              </w:rPr>
              <w:t>Term</w:t>
            </w:r>
          </w:p>
        </w:tc>
        <w:tc>
          <w:tcPr>
            <w:tcW w:w="7655" w:type="dxa"/>
            <w:shd w:val="clear" w:color="auto" w:fill="FFF2CC" w:themeFill="accent4" w:themeFillTint="33"/>
          </w:tcPr>
          <w:p w14:paraId="75B6D8D8" w14:textId="56D39BCA" w:rsidR="00FA3B10" w:rsidRPr="00FA3B10" w:rsidRDefault="00FA3B10" w:rsidP="00FC4AF3">
            <w:pPr>
              <w:spacing w:before="120" w:after="0" w:line="240" w:lineRule="auto"/>
              <w:rPr>
                <w:rFonts w:ascii="Gill Sans MT" w:hAnsi="Gill Sans MT"/>
              </w:rPr>
            </w:pPr>
            <w:r w:rsidRPr="00FA3B10">
              <w:rPr>
                <w:rFonts w:ascii="Gill Sans MT" w:hAnsi="Gill Sans MT"/>
                <w:b/>
                <w:bCs/>
              </w:rPr>
              <w:t>AQF Definition</w:t>
            </w:r>
            <w:r w:rsidRPr="00FA3B10">
              <w:rPr>
                <w:rFonts w:ascii="Gill Sans MT" w:hAnsi="Gill Sans MT"/>
              </w:rPr>
              <w:t xml:space="preserve"> </w:t>
            </w:r>
          </w:p>
        </w:tc>
      </w:tr>
      <w:tr w:rsidR="00FA3B10" w:rsidRPr="00C966A1" w14:paraId="6780F124" w14:textId="77777777" w:rsidTr="00FC4AF3">
        <w:trPr>
          <w:trHeight w:val="100"/>
        </w:trPr>
        <w:tc>
          <w:tcPr>
            <w:tcW w:w="1846" w:type="dxa"/>
            <w:shd w:val="clear" w:color="auto" w:fill="FFF2CC" w:themeFill="accent4" w:themeFillTint="33"/>
          </w:tcPr>
          <w:p w14:paraId="3C84791B" w14:textId="77777777" w:rsidR="00FA3B10" w:rsidRPr="00FA3B10" w:rsidRDefault="00FA3B10" w:rsidP="00FC4AF3">
            <w:pPr>
              <w:spacing w:before="120" w:after="0" w:line="240" w:lineRule="auto"/>
              <w:rPr>
                <w:rFonts w:ascii="Gill Sans MT" w:hAnsi="Gill Sans MT"/>
              </w:rPr>
            </w:pPr>
            <w:r w:rsidRPr="00FA3B10">
              <w:rPr>
                <w:rFonts w:ascii="Gill Sans MT" w:hAnsi="Gill Sans MT"/>
                <w:b/>
                <w:bCs/>
              </w:rPr>
              <w:t>Contract of training</w:t>
            </w:r>
          </w:p>
        </w:tc>
        <w:tc>
          <w:tcPr>
            <w:tcW w:w="7655" w:type="dxa"/>
            <w:shd w:val="clear" w:color="auto" w:fill="FFF2CC" w:themeFill="accent4" w:themeFillTint="33"/>
          </w:tcPr>
          <w:p w14:paraId="21285124" w14:textId="77777777" w:rsidR="00FA3B10" w:rsidRDefault="00FA3B10" w:rsidP="00FC4AF3">
            <w:pPr>
              <w:spacing w:before="120" w:after="0" w:line="240" w:lineRule="auto"/>
              <w:rPr>
                <w:rFonts w:ascii="Gill Sans MT" w:hAnsi="Gill Sans MT"/>
              </w:rPr>
            </w:pPr>
            <w:r w:rsidRPr="00FA3B10">
              <w:rPr>
                <w:rFonts w:ascii="Gill Sans MT" w:hAnsi="Gill Sans MT"/>
              </w:rPr>
              <w:t xml:space="preserve">A legal agreement between an employer and an apprentice or trainee which defines the rights and responsibilities of each party. These include the employer guaranteeing to train the apprentice or trainee in the agreed occupation or training area and to allow time off work to attend any required off-the-job training; and the apprentice or trainee agreeing to learn all aspects of the occupation or training area and to work for the employer for a specified period. It supersedes the indenture system </w:t>
            </w:r>
          </w:p>
          <w:p w14:paraId="08C77931" w14:textId="507E87B0" w:rsidR="00FA3B10" w:rsidRPr="009C160D" w:rsidRDefault="00FA3B10" w:rsidP="00FC4AF3">
            <w:pPr>
              <w:spacing w:before="120" w:after="0" w:line="240" w:lineRule="auto"/>
              <w:rPr>
                <w:rFonts w:ascii="Gill Sans MT" w:hAnsi="Gill Sans MT"/>
                <w:sz w:val="20"/>
                <w:szCs w:val="20"/>
              </w:rPr>
            </w:pPr>
            <w:r w:rsidRPr="009C160D">
              <w:rPr>
                <w:rFonts w:ascii="Gill Sans MT" w:hAnsi="Gill Sans MT"/>
                <w:i/>
                <w:iCs/>
                <w:sz w:val="20"/>
                <w:szCs w:val="20"/>
              </w:rPr>
              <w:t xml:space="preserve">Source: NCVER Glossary of VET </w:t>
            </w:r>
          </w:p>
        </w:tc>
      </w:tr>
    </w:tbl>
    <w:p w14:paraId="3AFB72D0" w14:textId="77777777" w:rsidR="00FA3B10" w:rsidRDefault="00FA3B10">
      <w:pPr>
        <w:rPr>
          <w:rFonts w:ascii="Gill Sans MT" w:hAnsi="Gill Sans MT"/>
          <w:sz w:val="24"/>
        </w:rPr>
      </w:pPr>
    </w:p>
    <w:p w14:paraId="70A7C14C" w14:textId="60A0A868" w:rsidR="00C966A1" w:rsidRPr="00B30BDB" w:rsidRDefault="00FA3B10">
      <w:pPr>
        <w:rPr>
          <w:rFonts w:ascii="Gill Sans MT" w:hAnsi="Gill Sans MT"/>
        </w:rPr>
      </w:pPr>
      <w:r w:rsidRPr="00B30BDB">
        <w:rPr>
          <w:rFonts w:ascii="Gill Sans MT" w:hAnsi="Gill Sans MT"/>
          <w:i/>
          <w:iCs/>
        </w:rPr>
        <w:t>Work-based learning</w:t>
      </w:r>
      <w:r w:rsidRPr="00B30BDB">
        <w:rPr>
          <w:rFonts w:ascii="Gill Sans MT" w:hAnsi="Gill Sans MT"/>
        </w:rPr>
        <w:t xml:space="preserve"> is to be added to page 101</w:t>
      </w:r>
      <w:r w:rsidR="0020375D" w:rsidRPr="00B30BDB">
        <w:rPr>
          <w:rFonts w:ascii="Gill Sans MT" w:hAnsi="Gill Sans MT"/>
        </w:rPr>
        <w:t xml:space="preserve"> of the </w:t>
      </w:r>
      <w:r w:rsidR="0020375D" w:rsidRPr="00B30BDB">
        <w:rPr>
          <w:rFonts w:ascii="Gill Sans MT" w:hAnsi="Gill Sans MT"/>
          <w:i/>
          <w:iCs/>
        </w:rPr>
        <w:t>AQF Glossary</w:t>
      </w:r>
      <w:r w:rsidRPr="00B30BDB">
        <w:rPr>
          <w:rFonts w:ascii="Gill Sans MT" w:hAnsi="Gill Sans MT"/>
        </w:rPr>
        <w:t xml:space="preserve">.  </w:t>
      </w:r>
    </w:p>
    <w:tbl>
      <w:tblPr>
        <w:tblW w:w="9501" w:type="dxa"/>
        <w:tblInd w:w="-8"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ayout w:type="fixed"/>
        <w:tblLook w:val="0000" w:firstRow="0" w:lastRow="0" w:firstColumn="0" w:lastColumn="0" w:noHBand="0" w:noVBand="0"/>
      </w:tblPr>
      <w:tblGrid>
        <w:gridCol w:w="1846"/>
        <w:gridCol w:w="7655"/>
      </w:tblGrid>
      <w:tr w:rsidR="00FA3B10" w:rsidRPr="00C966A1" w14:paraId="025CDD8D" w14:textId="77777777" w:rsidTr="00FA3B10">
        <w:trPr>
          <w:trHeight w:val="100"/>
        </w:trPr>
        <w:tc>
          <w:tcPr>
            <w:tcW w:w="1846" w:type="dxa"/>
            <w:shd w:val="clear" w:color="auto" w:fill="FFF2CC" w:themeFill="accent4" w:themeFillTint="33"/>
          </w:tcPr>
          <w:p w14:paraId="6036227C" w14:textId="50705993" w:rsidR="00FA3B10" w:rsidRPr="00FA3B10" w:rsidRDefault="00FA3B10" w:rsidP="00FA3B10">
            <w:pPr>
              <w:spacing w:before="120" w:after="0" w:line="240" w:lineRule="auto"/>
              <w:rPr>
                <w:rFonts w:ascii="Gill Sans MT" w:hAnsi="Gill Sans MT"/>
                <w:b/>
                <w:bCs/>
              </w:rPr>
            </w:pPr>
            <w:r w:rsidRPr="00FA3B10">
              <w:rPr>
                <w:rFonts w:ascii="Gill Sans MT" w:hAnsi="Gill Sans MT"/>
                <w:b/>
                <w:bCs/>
              </w:rPr>
              <w:t>Term</w:t>
            </w:r>
          </w:p>
        </w:tc>
        <w:tc>
          <w:tcPr>
            <w:tcW w:w="7655" w:type="dxa"/>
            <w:shd w:val="clear" w:color="auto" w:fill="FFF2CC" w:themeFill="accent4" w:themeFillTint="33"/>
          </w:tcPr>
          <w:p w14:paraId="17D5DBC5" w14:textId="01293D97" w:rsidR="00FA3B10" w:rsidRPr="00FA3B10" w:rsidRDefault="00FA3B10" w:rsidP="00FA3B10">
            <w:pPr>
              <w:spacing w:before="120" w:after="0" w:line="240" w:lineRule="auto"/>
              <w:rPr>
                <w:rFonts w:ascii="Gill Sans MT" w:hAnsi="Gill Sans MT"/>
              </w:rPr>
            </w:pPr>
            <w:r w:rsidRPr="00FA3B10">
              <w:rPr>
                <w:rFonts w:ascii="Gill Sans MT" w:hAnsi="Gill Sans MT"/>
                <w:b/>
                <w:bCs/>
              </w:rPr>
              <w:t>AQF Definition</w:t>
            </w:r>
            <w:r w:rsidRPr="00FA3B10">
              <w:rPr>
                <w:rFonts w:ascii="Gill Sans MT" w:hAnsi="Gill Sans MT"/>
              </w:rPr>
              <w:t xml:space="preserve"> </w:t>
            </w:r>
          </w:p>
        </w:tc>
      </w:tr>
      <w:tr w:rsidR="00FA3B10" w:rsidRPr="00C966A1" w14:paraId="6333F7E0" w14:textId="77777777" w:rsidTr="00FA3B10">
        <w:trPr>
          <w:trHeight w:val="100"/>
        </w:trPr>
        <w:tc>
          <w:tcPr>
            <w:tcW w:w="1846" w:type="dxa"/>
            <w:shd w:val="clear" w:color="auto" w:fill="FFF2CC" w:themeFill="accent4" w:themeFillTint="33"/>
          </w:tcPr>
          <w:p w14:paraId="48837322" w14:textId="6FED6B55" w:rsidR="00FA3B10" w:rsidRPr="00C966A1" w:rsidRDefault="00FA3B10" w:rsidP="00FA3B10">
            <w:pPr>
              <w:spacing w:before="120" w:after="0" w:line="240" w:lineRule="auto"/>
              <w:rPr>
                <w:rFonts w:ascii="Gill Sans MT" w:hAnsi="Gill Sans MT"/>
              </w:rPr>
            </w:pPr>
            <w:r w:rsidRPr="00C966A1">
              <w:rPr>
                <w:rFonts w:ascii="Gill Sans MT" w:hAnsi="Gill Sans MT"/>
                <w:b/>
                <w:bCs/>
                <w:sz w:val="21"/>
                <w:szCs w:val="21"/>
              </w:rPr>
              <w:t>Work-based learning</w:t>
            </w:r>
          </w:p>
        </w:tc>
        <w:tc>
          <w:tcPr>
            <w:tcW w:w="7655" w:type="dxa"/>
            <w:shd w:val="clear" w:color="auto" w:fill="FFF2CC" w:themeFill="accent4" w:themeFillTint="33"/>
          </w:tcPr>
          <w:p w14:paraId="6014B814" w14:textId="14F1ADD8" w:rsidR="00FA3B10" w:rsidRPr="009C160D" w:rsidRDefault="00FA3B10" w:rsidP="00FA3B10">
            <w:pPr>
              <w:spacing w:before="120" w:after="0" w:line="240" w:lineRule="auto"/>
              <w:rPr>
                <w:rFonts w:ascii="Gill Sans MT" w:hAnsi="Gill Sans MT"/>
              </w:rPr>
            </w:pPr>
            <w:r w:rsidRPr="009C160D">
              <w:rPr>
                <w:rFonts w:ascii="Gill Sans MT" w:hAnsi="Gill Sans MT"/>
              </w:rPr>
              <w:t>Learning that occurs in a work, or work simulated, environment, through participation in work practice and process</w:t>
            </w:r>
          </w:p>
          <w:p w14:paraId="75E4BD02" w14:textId="22BDA2A1" w:rsidR="00FA3B10" w:rsidRPr="009C160D" w:rsidRDefault="00FA3B10" w:rsidP="00FA3B10">
            <w:pPr>
              <w:spacing w:before="120" w:after="0" w:line="240" w:lineRule="auto"/>
              <w:rPr>
                <w:rFonts w:ascii="Gill Sans MT" w:hAnsi="Gill Sans MT"/>
                <w:sz w:val="20"/>
                <w:szCs w:val="20"/>
              </w:rPr>
            </w:pPr>
            <w:r w:rsidRPr="009C160D">
              <w:rPr>
                <w:rFonts w:ascii="Gill Sans MT" w:hAnsi="Gill Sans MT"/>
                <w:i/>
                <w:iCs/>
                <w:sz w:val="20"/>
                <w:szCs w:val="20"/>
              </w:rPr>
              <w:t>Source: Adapted from NCVER Glossary of VET</w:t>
            </w:r>
          </w:p>
        </w:tc>
      </w:tr>
    </w:tbl>
    <w:p w14:paraId="1B8ED5ED" w14:textId="77777777" w:rsidR="00ED0ACF" w:rsidRDefault="00ED0ACF">
      <w:pPr>
        <w:rPr>
          <w:rFonts w:ascii="Gill Sans MT" w:hAnsi="Gill Sans MT"/>
          <w:sz w:val="24"/>
        </w:rPr>
      </w:pPr>
    </w:p>
    <w:p w14:paraId="291104B8" w14:textId="2BF58FAA" w:rsidR="00ED0ACF" w:rsidRPr="00307D9B" w:rsidRDefault="00ED0ACF">
      <w:pPr>
        <w:rPr>
          <w:rFonts w:ascii="Gill Sans MT" w:hAnsi="Gill Sans MT"/>
          <w:b/>
          <w:bCs/>
          <w:sz w:val="24"/>
        </w:rPr>
      </w:pPr>
      <w:r w:rsidRPr="00307D9B">
        <w:rPr>
          <w:rFonts w:ascii="Gill Sans MT" w:hAnsi="Gill Sans MT"/>
          <w:b/>
          <w:bCs/>
          <w:sz w:val="24"/>
        </w:rPr>
        <w:lastRenderedPageBreak/>
        <w:t>Implementation arrangements</w:t>
      </w:r>
    </w:p>
    <w:p w14:paraId="2C15A674" w14:textId="094BA5A4" w:rsidR="00307D9B" w:rsidRDefault="00307D9B">
      <w:pPr>
        <w:rPr>
          <w:rFonts w:ascii="Gill Sans MT" w:hAnsi="Gill Sans MT"/>
        </w:rPr>
      </w:pPr>
      <w:r w:rsidRPr="00B30BDB">
        <w:rPr>
          <w:rFonts w:ascii="Gill Sans MT" w:hAnsi="Gill Sans MT"/>
        </w:rPr>
        <w:t xml:space="preserve">The implementation arrangements for this addendum are as per the Australian Qualifications Framework Second Edition January 2013 and Addendum No. </w:t>
      </w:r>
      <w:r w:rsidR="007D65AC">
        <w:rPr>
          <w:rFonts w:ascii="Gill Sans MT" w:hAnsi="Gill Sans MT"/>
        </w:rPr>
        <w:t>7</w:t>
      </w:r>
      <w:r w:rsidRPr="00B30BDB">
        <w:rPr>
          <w:rFonts w:ascii="Gill Sans MT" w:hAnsi="Gill Sans MT"/>
        </w:rPr>
        <w:t xml:space="preserve"> (Part A) Vocational Degree qualification.</w:t>
      </w:r>
    </w:p>
    <w:p w14:paraId="26C258C4" w14:textId="45BA9273" w:rsidR="00ED0ACF" w:rsidRPr="00307D9B" w:rsidRDefault="002E0784">
      <w:pPr>
        <w:rPr>
          <w:rFonts w:ascii="Gill Sans MT" w:hAnsi="Gill Sans MT"/>
          <w:b/>
          <w:bCs/>
          <w:sz w:val="24"/>
        </w:rPr>
      </w:pPr>
      <w:r w:rsidRPr="00DA6EA3">
        <w:rPr>
          <w:rFonts w:ascii="Gill Sans MT" w:hAnsi="Gill Sans MT"/>
          <w:noProof/>
          <w:sz w:val="40"/>
          <w:szCs w:val="28"/>
          <w:highlight w:val="yellow"/>
          <w:lang w:eastAsia="en-AU"/>
        </w:rPr>
        <w:drawing>
          <wp:anchor distT="0" distB="0" distL="114300" distR="114300" simplePos="0" relativeHeight="251669504" behindDoc="1" locked="0" layoutInCell="1" allowOverlap="1" wp14:anchorId="250BCF6B" wp14:editId="2191138E">
            <wp:simplePos x="0" y="0"/>
            <wp:positionH relativeFrom="page">
              <wp:align>left</wp:align>
            </wp:positionH>
            <wp:positionV relativeFrom="paragraph">
              <wp:posOffset>-916940</wp:posOffset>
            </wp:positionV>
            <wp:extent cx="177800" cy="10716466"/>
            <wp:effectExtent l="0" t="0" r="0" b="8890"/>
            <wp:wrapNone/>
            <wp:docPr id="1141519437" name="Picture 114151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e bar.JPG"/>
                    <pic:cNvPicPr/>
                  </pic:nvPicPr>
                  <pic:blipFill>
                    <a:blip r:embed="rId11">
                      <a:extLst>
                        <a:ext uri="{28A0092B-C50C-407E-A947-70E740481C1C}">
                          <a14:useLocalDpi xmlns:a14="http://schemas.microsoft.com/office/drawing/2010/main" val="0"/>
                        </a:ext>
                      </a:extLst>
                    </a:blip>
                    <a:stretch>
                      <a:fillRect/>
                    </a:stretch>
                  </pic:blipFill>
                  <pic:spPr>
                    <a:xfrm>
                      <a:off x="0" y="0"/>
                      <a:ext cx="177800" cy="10716466"/>
                    </a:xfrm>
                    <a:prstGeom prst="rect">
                      <a:avLst/>
                    </a:prstGeom>
                  </pic:spPr>
                </pic:pic>
              </a:graphicData>
            </a:graphic>
            <wp14:sizeRelH relativeFrom="page">
              <wp14:pctWidth>0</wp14:pctWidth>
            </wp14:sizeRelH>
            <wp14:sizeRelV relativeFrom="page">
              <wp14:pctHeight>0</wp14:pctHeight>
            </wp14:sizeRelV>
          </wp:anchor>
        </w:drawing>
      </w:r>
      <w:r w:rsidR="00ED0ACF" w:rsidRPr="00307D9B">
        <w:rPr>
          <w:rFonts w:ascii="Gill Sans MT" w:hAnsi="Gill Sans MT"/>
          <w:b/>
          <w:bCs/>
          <w:sz w:val="24"/>
        </w:rPr>
        <w:t xml:space="preserve">Transition arrangements </w:t>
      </w:r>
    </w:p>
    <w:p w14:paraId="354FCB54" w14:textId="544EDF3A" w:rsidR="00307D9B" w:rsidRPr="00F566D0" w:rsidRDefault="00307D9B" w:rsidP="00307D9B">
      <w:pPr>
        <w:autoSpaceDE w:val="0"/>
        <w:autoSpaceDN w:val="0"/>
        <w:adjustRightInd w:val="0"/>
        <w:spacing w:after="0" w:line="240" w:lineRule="auto"/>
        <w:rPr>
          <w:rFonts w:ascii="Gill Sans MT" w:hAnsi="Gill Sans MT"/>
        </w:rPr>
      </w:pPr>
      <w:r w:rsidRPr="00F566D0">
        <w:rPr>
          <w:rFonts w:ascii="Gill Sans MT" w:hAnsi="Gill Sans MT"/>
        </w:rPr>
        <w:t>Issuing organisations that are compliant with the Australian Qualifications Framework Second Edition January 2013 are deemed compliant with this addendum</w:t>
      </w:r>
      <w:r>
        <w:rPr>
          <w:rFonts w:ascii="Gill Sans MT" w:hAnsi="Gill Sans MT"/>
        </w:rPr>
        <w:t>.</w:t>
      </w:r>
      <w:r w:rsidRPr="00F566D0">
        <w:rPr>
          <w:rFonts w:ascii="Gill Sans MT" w:hAnsi="Gill Sans MT"/>
        </w:rPr>
        <w:t xml:space="preserve"> </w:t>
      </w:r>
    </w:p>
    <w:p w14:paraId="5138331A" w14:textId="013768C2" w:rsidR="00307D9B" w:rsidRPr="00B441C2" w:rsidRDefault="00307D9B" w:rsidP="00307D9B">
      <w:pPr>
        <w:autoSpaceDE w:val="0"/>
        <w:autoSpaceDN w:val="0"/>
        <w:adjustRightInd w:val="0"/>
        <w:spacing w:after="0" w:line="240" w:lineRule="auto"/>
        <w:rPr>
          <w:rFonts w:ascii="Gill Sans MT" w:hAnsi="Gill Sans MT"/>
          <w:highlight w:val="yellow"/>
        </w:rPr>
      </w:pPr>
    </w:p>
    <w:p w14:paraId="740D4143" w14:textId="3833E0C3" w:rsidR="00307D9B" w:rsidRDefault="00307D9B" w:rsidP="00307D9B">
      <w:pPr>
        <w:autoSpaceDE w:val="0"/>
        <w:autoSpaceDN w:val="0"/>
        <w:adjustRightInd w:val="0"/>
        <w:spacing w:after="0" w:line="240" w:lineRule="auto"/>
        <w:rPr>
          <w:rFonts w:ascii="Gill Sans MT" w:hAnsi="Gill Sans MT"/>
        </w:rPr>
      </w:pPr>
      <w:r w:rsidRPr="00864213">
        <w:rPr>
          <w:rFonts w:ascii="Gill Sans MT" w:hAnsi="Gill Sans MT"/>
        </w:rPr>
        <w:t xml:space="preserve">A set of frequently asked questions regarding the Vocational Degree </w:t>
      </w:r>
      <w:r w:rsidR="0020375D" w:rsidRPr="00864213">
        <w:rPr>
          <w:rFonts w:ascii="Gill Sans MT" w:hAnsi="Gill Sans MT"/>
        </w:rPr>
        <w:t xml:space="preserve">specifications </w:t>
      </w:r>
      <w:r w:rsidRPr="00864213">
        <w:rPr>
          <w:rFonts w:ascii="Gill Sans MT" w:hAnsi="Gill Sans MT"/>
        </w:rPr>
        <w:t xml:space="preserve">and these minor </w:t>
      </w:r>
      <w:r w:rsidR="0020375D" w:rsidRPr="00864213">
        <w:rPr>
          <w:rFonts w:ascii="Gill Sans MT" w:hAnsi="Gill Sans MT"/>
        </w:rPr>
        <w:t xml:space="preserve">amendments to the </w:t>
      </w:r>
      <w:r w:rsidRPr="00864213">
        <w:rPr>
          <w:rFonts w:ascii="Gill Sans MT" w:hAnsi="Gill Sans MT"/>
        </w:rPr>
        <w:t xml:space="preserve">AQF </w:t>
      </w:r>
      <w:r w:rsidR="0020375D" w:rsidRPr="00864213">
        <w:rPr>
          <w:rFonts w:ascii="Gill Sans MT" w:hAnsi="Gill Sans MT"/>
        </w:rPr>
        <w:t>Issuance P</w:t>
      </w:r>
      <w:r w:rsidRPr="00864213">
        <w:rPr>
          <w:rFonts w:ascii="Gill Sans MT" w:hAnsi="Gill Sans MT"/>
        </w:rPr>
        <w:t>olicy</w:t>
      </w:r>
      <w:r w:rsidR="0020375D" w:rsidRPr="00864213">
        <w:rPr>
          <w:rFonts w:ascii="Gill Sans MT" w:hAnsi="Gill Sans MT"/>
        </w:rPr>
        <w:t xml:space="preserve"> and AQF Glossary </w:t>
      </w:r>
      <w:r w:rsidRPr="00864213">
        <w:rPr>
          <w:rFonts w:ascii="Gill Sans MT" w:hAnsi="Gill Sans MT"/>
        </w:rPr>
        <w:t>can be found on the AQF website www.aqf.edu.au.</w:t>
      </w:r>
    </w:p>
    <w:p w14:paraId="5FF88B40" w14:textId="039A75F0" w:rsidR="00473068" w:rsidRDefault="00473068">
      <w:pPr>
        <w:rPr>
          <w:rFonts w:ascii="Gill Sans MT" w:hAnsi="Gill Sans MT"/>
          <w:sz w:val="24"/>
        </w:rPr>
      </w:pPr>
      <w:r>
        <w:rPr>
          <w:rFonts w:ascii="Gill Sans MT" w:hAnsi="Gill Sans MT"/>
          <w:sz w:val="24"/>
        </w:rPr>
        <w:br w:type="page"/>
      </w:r>
    </w:p>
    <w:p w14:paraId="5D02F51C" w14:textId="77777777" w:rsidR="00E3579B" w:rsidRPr="00E3579B" w:rsidRDefault="00473068" w:rsidP="007C6DBB">
      <w:pPr>
        <w:tabs>
          <w:tab w:val="left" w:pos="2268"/>
        </w:tabs>
        <w:snapToGrid w:val="0"/>
        <w:spacing w:after="0" w:line="276" w:lineRule="auto"/>
        <w:ind w:right="95"/>
        <w:rPr>
          <w:rFonts w:ascii="Gill Sans MT" w:hAnsi="Gill Sans MT"/>
          <w:sz w:val="24"/>
        </w:rPr>
      </w:pPr>
      <w:r>
        <w:rPr>
          <w:noProof/>
          <w:lang w:eastAsia="en-AU"/>
        </w:rPr>
        <w:lastRenderedPageBreak/>
        <w:drawing>
          <wp:anchor distT="0" distB="0" distL="114300" distR="114300" simplePos="0" relativeHeight="251665408" behindDoc="1" locked="0" layoutInCell="1" allowOverlap="1" wp14:anchorId="0344FEAB" wp14:editId="52168D7D">
            <wp:simplePos x="0" y="0"/>
            <wp:positionH relativeFrom="margin">
              <wp:align>right</wp:align>
            </wp:positionH>
            <wp:positionV relativeFrom="paragraph">
              <wp:posOffset>-2421466</wp:posOffset>
            </wp:positionV>
            <wp:extent cx="7658100" cy="7676163"/>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F.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658100" cy="7676163"/>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3579B" w:rsidRPr="00E3579B" w:rsidSect="00E3579B">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36E7" w14:textId="77777777" w:rsidR="001605D2" w:rsidRDefault="001605D2" w:rsidP="008801BE">
      <w:pPr>
        <w:spacing w:after="0" w:line="240" w:lineRule="auto"/>
      </w:pPr>
      <w:r>
        <w:separator/>
      </w:r>
    </w:p>
  </w:endnote>
  <w:endnote w:type="continuationSeparator" w:id="0">
    <w:p w14:paraId="60268D5E" w14:textId="77777777" w:rsidR="001605D2" w:rsidRDefault="001605D2" w:rsidP="0088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859007739"/>
      <w:docPartObj>
        <w:docPartGallery w:val="Page Numbers (Bottom of Page)"/>
        <w:docPartUnique/>
      </w:docPartObj>
    </w:sdtPr>
    <w:sdtEndPr>
      <w:rPr>
        <w:noProof/>
      </w:rPr>
    </w:sdtEndPr>
    <w:sdtContent>
      <w:p w14:paraId="5E190A49" w14:textId="692BE277" w:rsidR="008801BE" w:rsidRPr="00473068" w:rsidRDefault="00473068" w:rsidP="00CD11D1">
        <w:pPr>
          <w:pStyle w:val="Footer"/>
          <w:rPr>
            <w:rFonts w:ascii="Gill Sans MT" w:hAnsi="Gill Sans MT"/>
            <w:noProof/>
          </w:rPr>
        </w:pPr>
        <w:r w:rsidRPr="00864213">
          <w:rPr>
            <w:rFonts w:ascii="Gill Sans MT" w:hAnsi="Gill Sans MT"/>
            <w:b/>
            <w:noProof/>
            <w:sz w:val="14"/>
            <w:lang w:eastAsia="en-AU"/>
          </w:rPr>
          <w:drawing>
            <wp:anchor distT="0" distB="0" distL="114300" distR="114300" simplePos="0" relativeHeight="251658240" behindDoc="1" locked="0" layoutInCell="1" allowOverlap="1" wp14:anchorId="30CBBACF" wp14:editId="12CA72C4">
              <wp:simplePos x="0" y="0"/>
              <wp:positionH relativeFrom="margin">
                <wp:posOffset>5621655</wp:posOffset>
              </wp:positionH>
              <wp:positionV relativeFrom="paragraph">
                <wp:posOffset>-110702</wp:posOffset>
              </wp:positionV>
              <wp:extent cx="27432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JPG"/>
                      <pic:cNvPicPr/>
                    </pic:nvPicPr>
                    <pic:blipFill>
                      <a:blip r:embed="rId1" cstate="print">
                        <a:extLst>
                          <a:ext uri="{BEBA8EAE-BF5A-486C-A8C5-ECC9F3942E4B}">
                            <a14:imgProps xmlns:a14="http://schemas.microsoft.com/office/drawing/2010/main">
                              <a14:imgLayer r:embed="rId2">
                                <a14:imgEffect>
                                  <a14:backgroundRemoval t="0" b="100000" l="0" r="100000">
                                    <a14:foregroundMark x1="16763" y1="44798" x2="16763" y2="44798"/>
                                    <a14:foregroundMark x1="29480" y1="41040" x2="33815" y2="28324"/>
                                    <a14:foregroundMark x1="14451" y1="40173" x2="36127" y2="6936"/>
                                    <a14:foregroundMark x1="40173" y1="26879" x2="40173" y2="867"/>
                                    <a14:foregroundMark x1="25434" y1="15607" x2="2312" y2="36994"/>
                                    <a14:foregroundMark x1="9249" y1="30636" x2="17630" y2="45665"/>
                                    <a14:foregroundMark x1="12428" y1="46243" x2="28613" y2="46532"/>
                                    <a14:foregroundMark x1="55491" y1="66185" x2="79480" y2="54046"/>
                                    <a14:foregroundMark x1="52312" y1="82659" x2="85838" y2="59249"/>
                                    <a14:foregroundMark x1="47110" y1="74277" x2="59249" y2="74277"/>
                                    <a14:foregroundMark x1="76590" y1="38728" x2="78035" y2="47110"/>
                                    <a14:foregroundMark x1="24855" y1="38439" x2="38728" y2="28324"/>
                                    <a14:foregroundMark x1="44220" y1="12139" x2="40751" y2="8382"/>
                                  </a14:backgroundRemoval>
                                </a14:imgEffect>
                              </a14:imgLayer>
                            </a14:imgProps>
                          </a:ex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CD11D1" w:rsidRPr="00864213">
          <w:rPr>
            <w:rFonts w:ascii="Gill Sans MT" w:hAnsi="Gill Sans MT"/>
            <w:b/>
            <w:sz w:val="14"/>
          </w:rPr>
          <w:t>Addendum No.</w:t>
        </w:r>
        <w:r w:rsidR="004A315F">
          <w:rPr>
            <w:rFonts w:ascii="Gill Sans MT" w:hAnsi="Gill Sans MT"/>
            <w:b/>
            <w:sz w:val="14"/>
          </w:rPr>
          <w:t>7</w:t>
        </w:r>
        <w:r w:rsidR="00CD11D1" w:rsidRPr="00864213">
          <w:rPr>
            <w:rFonts w:ascii="Gill Sans MT" w:hAnsi="Gill Sans MT"/>
            <w:b/>
            <w:sz w:val="14"/>
          </w:rPr>
          <w:t xml:space="preserve"> </w:t>
        </w:r>
        <w:r w:rsidR="0066076B" w:rsidRPr="00864213">
          <w:rPr>
            <w:rFonts w:ascii="Gill Sans MT" w:hAnsi="Gill Sans MT"/>
            <w:b/>
            <w:sz w:val="14"/>
          </w:rPr>
          <w:t xml:space="preserve">(Part B) </w:t>
        </w:r>
        <w:r w:rsidR="00CD11D1" w:rsidRPr="00864213">
          <w:rPr>
            <w:rFonts w:ascii="Gill Sans MT" w:hAnsi="Gill Sans MT"/>
            <w:b/>
            <w:sz w:val="14"/>
          </w:rPr>
          <w:t>to AQF Second Edition January 2013</w:t>
        </w:r>
        <w:r w:rsidR="00CD11D1" w:rsidRPr="00473068">
          <w:rPr>
            <w:rFonts w:ascii="Gill Sans MT" w:hAnsi="Gill Sans MT"/>
            <w:b/>
            <w:sz w:val="14"/>
          </w:rPr>
          <w:t xml:space="preserve"> </w:t>
        </w:r>
        <w:r w:rsidR="00CD11D1" w:rsidRPr="00473068">
          <w:rPr>
            <w:rFonts w:ascii="Gill Sans MT" w:hAnsi="Gill Sans MT"/>
          </w:rPr>
          <w:tab/>
        </w:r>
        <w:r>
          <w:rPr>
            <w:rFonts w:ascii="Gill Sans MT" w:hAnsi="Gill Sans MT"/>
          </w:rPr>
          <w:tab/>
        </w:r>
        <w:r w:rsidR="00CD11D1" w:rsidRPr="00BB6A86">
          <w:rPr>
            <w:rFonts w:ascii="Gill Sans MT" w:hAnsi="Gill Sans MT"/>
            <w:sz w:val="20"/>
          </w:rPr>
          <w:fldChar w:fldCharType="begin"/>
        </w:r>
        <w:r w:rsidR="00CD11D1" w:rsidRPr="00BB6A86">
          <w:rPr>
            <w:rFonts w:ascii="Gill Sans MT" w:hAnsi="Gill Sans MT"/>
            <w:sz w:val="20"/>
          </w:rPr>
          <w:instrText xml:space="preserve"> PAGE   \* MERGEFORMAT </w:instrText>
        </w:r>
        <w:r w:rsidR="00CD11D1" w:rsidRPr="00BB6A86">
          <w:rPr>
            <w:rFonts w:ascii="Gill Sans MT" w:hAnsi="Gill Sans MT"/>
            <w:sz w:val="20"/>
          </w:rPr>
          <w:fldChar w:fldCharType="separate"/>
        </w:r>
        <w:r w:rsidR="00E13560">
          <w:rPr>
            <w:rFonts w:ascii="Gill Sans MT" w:hAnsi="Gill Sans MT"/>
            <w:noProof/>
            <w:sz w:val="20"/>
          </w:rPr>
          <w:t>2</w:t>
        </w:r>
        <w:r w:rsidR="00CD11D1" w:rsidRPr="00BB6A86">
          <w:rPr>
            <w:rFonts w:ascii="Gill Sans MT" w:hAnsi="Gill Sans MT"/>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B5FC" w14:textId="77777777" w:rsidR="00CD11D1" w:rsidRDefault="00CD11D1">
    <w:pPr>
      <w:pStyle w:val="Footer"/>
      <w:jc w:val="right"/>
    </w:pPr>
  </w:p>
  <w:p w14:paraId="5D43711E" w14:textId="77777777" w:rsidR="00CD11D1" w:rsidRDefault="00CD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331A" w14:textId="77777777" w:rsidR="001605D2" w:rsidRDefault="001605D2" w:rsidP="008801BE">
      <w:pPr>
        <w:spacing w:after="0" w:line="240" w:lineRule="auto"/>
      </w:pPr>
      <w:r>
        <w:separator/>
      </w:r>
    </w:p>
  </w:footnote>
  <w:footnote w:type="continuationSeparator" w:id="0">
    <w:p w14:paraId="16D79D43" w14:textId="77777777" w:rsidR="001605D2" w:rsidRDefault="001605D2" w:rsidP="008801BE">
      <w:pPr>
        <w:spacing w:after="0" w:line="240" w:lineRule="auto"/>
      </w:pPr>
      <w:r>
        <w:continuationSeparator/>
      </w:r>
    </w:p>
  </w:footnote>
  <w:footnote w:id="1">
    <w:p w14:paraId="5320201B" w14:textId="337DEA35" w:rsidR="00FA3B10" w:rsidRPr="00864213" w:rsidRDefault="00FA3B10" w:rsidP="00FA3B10">
      <w:pPr>
        <w:pStyle w:val="FootnoteText"/>
        <w:rPr>
          <w:rFonts w:ascii="Gill Sans MT" w:hAnsi="Gill Sans MT"/>
        </w:rPr>
      </w:pPr>
      <w:r w:rsidRPr="00864213">
        <w:rPr>
          <w:rStyle w:val="FootnoteReference"/>
          <w:rFonts w:ascii="Gill Sans MT" w:hAnsi="Gill Sans MT"/>
        </w:rPr>
        <w:footnoteRef/>
      </w:r>
      <w:r w:rsidRPr="00864213">
        <w:rPr>
          <w:rFonts w:ascii="Gill Sans MT" w:hAnsi="Gill Sans MT"/>
        </w:rPr>
        <w:t xml:space="preserve"> Definitions sourced from the </w:t>
      </w:r>
      <w:r w:rsidRPr="00864213">
        <w:rPr>
          <w:rFonts w:ascii="Gill Sans MT" w:hAnsi="Gill Sans MT"/>
          <w:i/>
          <w:iCs/>
        </w:rPr>
        <w:t>VET Knowledge Bank - Glossary of VET</w:t>
      </w:r>
      <w:r w:rsidR="00630A86" w:rsidRPr="00864213">
        <w:rPr>
          <w:rFonts w:ascii="Gill Sans MT" w:hAnsi="Gill Sans MT"/>
        </w:rPr>
        <w:t xml:space="preserve"> located on the </w:t>
      </w:r>
      <w:proofErr w:type="spellStart"/>
      <w:r w:rsidR="00630A86" w:rsidRPr="00864213">
        <w:rPr>
          <w:rFonts w:ascii="Gill Sans MT" w:hAnsi="Gill Sans MT"/>
          <w:i/>
          <w:iCs/>
        </w:rPr>
        <w:t>VOCEDplus</w:t>
      </w:r>
      <w:proofErr w:type="spellEnd"/>
      <w:r w:rsidR="00630A86" w:rsidRPr="00864213">
        <w:rPr>
          <w:rFonts w:ascii="Gill Sans MT" w:hAnsi="Gill Sans MT"/>
          <w:i/>
          <w:iCs/>
        </w:rPr>
        <w:t xml:space="preserve"> website</w:t>
      </w:r>
      <w:r w:rsidR="00630A86" w:rsidRPr="00864213">
        <w:rPr>
          <w:rFonts w:ascii="Gill Sans MT" w:hAnsi="Gill Sans MT"/>
        </w:rPr>
        <w:t xml:space="preserve"> at </w:t>
      </w:r>
      <w:r w:rsidRPr="00864213">
        <w:rPr>
          <w:rFonts w:ascii="Gill Sans MT" w:hAnsi="Gill Sans MT"/>
        </w:rPr>
        <w:t>voced.edu.au/vet-knowledge-bank-glossary-vet.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6DB"/>
    <w:multiLevelType w:val="hybridMultilevel"/>
    <w:tmpl w:val="611A8DFC"/>
    <w:lvl w:ilvl="0" w:tplc="A9F4A29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84B"/>
    <w:multiLevelType w:val="hybridMultilevel"/>
    <w:tmpl w:val="C89EE14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ECDB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2322DE0"/>
    <w:multiLevelType w:val="hybridMultilevel"/>
    <w:tmpl w:val="3682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0BD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CE72FA5"/>
    <w:multiLevelType w:val="hybridMultilevel"/>
    <w:tmpl w:val="223CC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8193815">
    <w:abstractNumId w:val="5"/>
  </w:num>
  <w:num w:numId="2" w16cid:durableId="499321058">
    <w:abstractNumId w:val="3"/>
  </w:num>
  <w:num w:numId="3" w16cid:durableId="347635118">
    <w:abstractNumId w:val="2"/>
  </w:num>
  <w:num w:numId="4" w16cid:durableId="68355850">
    <w:abstractNumId w:val="4"/>
  </w:num>
  <w:num w:numId="5" w16cid:durableId="1123964786">
    <w:abstractNumId w:val="1"/>
  </w:num>
  <w:num w:numId="6" w16cid:durableId="151757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85"/>
    <w:rsid w:val="000602F8"/>
    <w:rsid w:val="000910CE"/>
    <w:rsid w:val="000E2B0A"/>
    <w:rsid w:val="001058D7"/>
    <w:rsid w:val="00121EB7"/>
    <w:rsid w:val="00141F90"/>
    <w:rsid w:val="001605D2"/>
    <w:rsid w:val="00166E83"/>
    <w:rsid w:val="001F6549"/>
    <w:rsid w:val="002013C6"/>
    <w:rsid w:val="0020375D"/>
    <w:rsid w:val="00225D1F"/>
    <w:rsid w:val="00270785"/>
    <w:rsid w:val="002E0784"/>
    <w:rsid w:val="00307D9B"/>
    <w:rsid w:val="00345C2A"/>
    <w:rsid w:val="00383AD3"/>
    <w:rsid w:val="003A4322"/>
    <w:rsid w:val="003C435E"/>
    <w:rsid w:val="003F41BA"/>
    <w:rsid w:val="00416A91"/>
    <w:rsid w:val="00417856"/>
    <w:rsid w:val="00450E7F"/>
    <w:rsid w:val="0046550E"/>
    <w:rsid w:val="00473068"/>
    <w:rsid w:val="004A1678"/>
    <w:rsid w:val="004A315F"/>
    <w:rsid w:val="005039DC"/>
    <w:rsid w:val="00511A52"/>
    <w:rsid w:val="00520CF6"/>
    <w:rsid w:val="00550087"/>
    <w:rsid w:val="0058717A"/>
    <w:rsid w:val="005A19C2"/>
    <w:rsid w:val="005B3DB2"/>
    <w:rsid w:val="005D5AC8"/>
    <w:rsid w:val="005F4D2B"/>
    <w:rsid w:val="005F73A1"/>
    <w:rsid w:val="00625C42"/>
    <w:rsid w:val="00630A86"/>
    <w:rsid w:val="0066076B"/>
    <w:rsid w:val="007327DD"/>
    <w:rsid w:val="007C6DBB"/>
    <w:rsid w:val="007D1285"/>
    <w:rsid w:val="007D65AC"/>
    <w:rsid w:val="007F2D83"/>
    <w:rsid w:val="00802FFE"/>
    <w:rsid w:val="00864213"/>
    <w:rsid w:val="008801BE"/>
    <w:rsid w:val="008B28D7"/>
    <w:rsid w:val="008F27D1"/>
    <w:rsid w:val="009436A7"/>
    <w:rsid w:val="00984861"/>
    <w:rsid w:val="00990F13"/>
    <w:rsid w:val="009A558C"/>
    <w:rsid w:val="009C160D"/>
    <w:rsid w:val="009E6050"/>
    <w:rsid w:val="009F0BB0"/>
    <w:rsid w:val="009F2C96"/>
    <w:rsid w:val="00A07F12"/>
    <w:rsid w:val="00A17814"/>
    <w:rsid w:val="00A75B5F"/>
    <w:rsid w:val="00AF446E"/>
    <w:rsid w:val="00B13084"/>
    <w:rsid w:val="00B13EE2"/>
    <w:rsid w:val="00B30BDB"/>
    <w:rsid w:val="00B36E8F"/>
    <w:rsid w:val="00B437F8"/>
    <w:rsid w:val="00B507CA"/>
    <w:rsid w:val="00BA033E"/>
    <w:rsid w:val="00BB6A86"/>
    <w:rsid w:val="00BC072D"/>
    <w:rsid w:val="00BF4691"/>
    <w:rsid w:val="00BF7EA1"/>
    <w:rsid w:val="00C9194F"/>
    <w:rsid w:val="00C93132"/>
    <w:rsid w:val="00C966A1"/>
    <w:rsid w:val="00CD11D1"/>
    <w:rsid w:val="00CD3AA9"/>
    <w:rsid w:val="00CE0E14"/>
    <w:rsid w:val="00D40151"/>
    <w:rsid w:val="00D9409C"/>
    <w:rsid w:val="00DA2294"/>
    <w:rsid w:val="00DA6EA3"/>
    <w:rsid w:val="00DD7AC0"/>
    <w:rsid w:val="00E13560"/>
    <w:rsid w:val="00E27DA3"/>
    <w:rsid w:val="00E3579B"/>
    <w:rsid w:val="00E745FD"/>
    <w:rsid w:val="00EA35C5"/>
    <w:rsid w:val="00ED0ACF"/>
    <w:rsid w:val="00EF5494"/>
    <w:rsid w:val="00F037F2"/>
    <w:rsid w:val="00F26EDD"/>
    <w:rsid w:val="00F346A8"/>
    <w:rsid w:val="00F544F3"/>
    <w:rsid w:val="00F61DDB"/>
    <w:rsid w:val="00F70BBD"/>
    <w:rsid w:val="00FA3B10"/>
    <w:rsid w:val="00FA7A18"/>
    <w:rsid w:val="00FB6F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33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BE"/>
  </w:style>
  <w:style w:type="paragraph" w:styleId="Footer">
    <w:name w:val="footer"/>
    <w:basedOn w:val="Normal"/>
    <w:link w:val="FooterChar"/>
    <w:uiPriority w:val="99"/>
    <w:unhideWhenUsed/>
    <w:rsid w:val="00880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BE"/>
  </w:style>
  <w:style w:type="paragraph" w:styleId="ListParagraph">
    <w:name w:val="List Paragraph"/>
    <w:basedOn w:val="Normal"/>
    <w:uiPriority w:val="34"/>
    <w:qFormat/>
    <w:rsid w:val="004A1678"/>
    <w:pPr>
      <w:ind w:left="720"/>
      <w:contextualSpacing/>
    </w:pPr>
  </w:style>
  <w:style w:type="character" w:styleId="CommentReference">
    <w:name w:val="annotation reference"/>
    <w:basedOn w:val="DefaultParagraphFont"/>
    <w:uiPriority w:val="99"/>
    <w:semiHidden/>
    <w:unhideWhenUsed/>
    <w:rsid w:val="004A1678"/>
    <w:rPr>
      <w:sz w:val="16"/>
      <w:szCs w:val="16"/>
    </w:rPr>
  </w:style>
  <w:style w:type="paragraph" w:styleId="CommentText">
    <w:name w:val="annotation text"/>
    <w:basedOn w:val="Normal"/>
    <w:link w:val="CommentTextChar"/>
    <w:uiPriority w:val="99"/>
    <w:unhideWhenUsed/>
    <w:rsid w:val="004A1678"/>
    <w:pPr>
      <w:spacing w:line="240" w:lineRule="auto"/>
    </w:pPr>
    <w:rPr>
      <w:sz w:val="20"/>
      <w:szCs w:val="20"/>
    </w:rPr>
  </w:style>
  <w:style w:type="character" w:customStyle="1" w:styleId="CommentTextChar">
    <w:name w:val="Comment Text Char"/>
    <w:basedOn w:val="DefaultParagraphFont"/>
    <w:link w:val="CommentText"/>
    <w:uiPriority w:val="99"/>
    <w:rsid w:val="004A1678"/>
    <w:rPr>
      <w:sz w:val="20"/>
      <w:szCs w:val="20"/>
    </w:rPr>
  </w:style>
  <w:style w:type="paragraph" w:styleId="CommentSubject">
    <w:name w:val="annotation subject"/>
    <w:basedOn w:val="CommentText"/>
    <w:next w:val="CommentText"/>
    <w:link w:val="CommentSubjectChar"/>
    <w:uiPriority w:val="99"/>
    <w:semiHidden/>
    <w:unhideWhenUsed/>
    <w:rsid w:val="004A1678"/>
    <w:rPr>
      <w:b/>
      <w:bCs/>
    </w:rPr>
  </w:style>
  <w:style w:type="character" w:customStyle="1" w:styleId="CommentSubjectChar">
    <w:name w:val="Comment Subject Char"/>
    <w:basedOn w:val="CommentTextChar"/>
    <w:link w:val="CommentSubject"/>
    <w:uiPriority w:val="99"/>
    <w:semiHidden/>
    <w:rsid w:val="004A1678"/>
    <w:rPr>
      <w:b/>
      <w:bCs/>
      <w:sz w:val="20"/>
      <w:szCs w:val="20"/>
    </w:rPr>
  </w:style>
  <w:style w:type="paragraph" w:styleId="BalloonText">
    <w:name w:val="Balloon Text"/>
    <w:basedOn w:val="Normal"/>
    <w:link w:val="BalloonTextChar"/>
    <w:uiPriority w:val="99"/>
    <w:semiHidden/>
    <w:unhideWhenUsed/>
    <w:rsid w:val="004A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678"/>
    <w:rPr>
      <w:rFonts w:ascii="Segoe UI" w:hAnsi="Segoe UI" w:cs="Segoe UI"/>
      <w:sz w:val="18"/>
      <w:szCs w:val="18"/>
    </w:rPr>
  </w:style>
  <w:style w:type="paragraph" w:customStyle="1" w:styleId="Default">
    <w:name w:val="Default"/>
    <w:rsid w:val="00C966A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96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6A1"/>
    <w:rPr>
      <w:sz w:val="20"/>
      <w:szCs w:val="20"/>
    </w:rPr>
  </w:style>
  <w:style w:type="character" w:styleId="FootnoteReference">
    <w:name w:val="footnote reference"/>
    <w:basedOn w:val="DefaultParagraphFont"/>
    <w:uiPriority w:val="99"/>
    <w:semiHidden/>
    <w:unhideWhenUsed/>
    <w:rsid w:val="00C966A1"/>
    <w:rPr>
      <w:vertAlign w:val="superscript"/>
    </w:rPr>
  </w:style>
  <w:style w:type="character" w:styleId="Hyperlink">
    <w:name w:val="Hyperlink"/>
    <w:basedOn w:val="DefaultParagraphFont"/>
    <w:uiPriority w:val="99"/>
    <w:unhideWhenUsed/>
    <w:rsid w:val="00C966A1"/>
    <w:rPr>
      <w:color w:val="0563C1" w:themeColor="hyperlink"/>
      <w:u w:val="single"/>
    </w:rPr>
  </w:style>
  <w:style w:type="character" w:styleId="UnresolvedMention">
    <w:name w:val="Unresolved Mention"/>
    <w:basedOn w:val="DefaultParagraphFont"/>
    <w:uiPriority w:val="99"/>
    <w:semiHidden/>
    <w:unhideWhenUsed/>
    <w:rsid w:val="00C966A1"/>
    <w:rPr>
      <w:color w:val="605E5C"/>
      <w:shd w:val="clear" w:color="auto" w:fill="E1DFDD"/>
    </w:rPr>
  </w:style>
  <w:style w:type="paragraph" w:styleId="Revision">
    <w:name w:val="Revision"/>
    <w:hidden/>
    <w:uiPriority w:val="99"/>
    <w:semiHidden/>
    <w:rsid w:val="004A3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0582-0CE5-4ABF-AECE-9E30F1A1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4927</Characters>
  <Application>Microsoft Office Word</Application>
  <DocSecurity>4</DocSecurity>
  <Lines>492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2025-02-26T03:45:00Z</dcterms:created>
  <dcterms:modified xsi:type="dcterms:W3CDTF">2025-02-26T03:45:00Z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2024-12-05T00:28:04Z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4f99a8e6-6ef3-449d-b179-1230eb1e512f</vt:lpwstr>
  </property>
  <property fmtid="{D5CDD505-2E9C-101B-9397-08002B2CF9AE}" pid="8" name="MSIP_Label_79d889eb-932f-4752-8739-64d25806ef64_ContentBits">
    <vt:lpwstr>0</vt:lpwstr>
  </property>
</Properties>
</file>